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ascii="宋体" w:cs="宋体"/>
          <w:color w:val="000000"/>
          <w:w w:val="80"/>
          <w:sz w:val="44"/>
          <w:szCs w:val="44"/>
        </w:rPr>
      </w:pPr>
    </w:p>
    <w:p>
      <w:pPr>
        <w:tabs>
          <w:tab w:val="left" w:pos="6300"/>
        </w:tabs>
        <w:snapToGrid w:val="0"/>
        <w:spacing w:line="300" w:lineRule="auto"/>
        <w:rPr>
          <w:rFonts w:ascii="宋体" w:cs="宋体"/>
          <w:color w:val="000000"/>
          <w:w w:val="80"/>
          <w:sz w:val="44"/>
          <w:szCs w:val="44"/>
        </w:rPr>
      </w:pPr>
    </w:p>
    <w:p>
      <w:pPr>
        <w:tabs>
          <w:tab w:val="left" w:pos="6300"/>
        </w:tabs>
        <w:snapToGrid w:val="0"/>
        <w:spacing w:line="300" w:lineRule="auto"/>
        <w:jc w:val="center"/>
        <w:rPr>
          <w:rFonts w:ascii="宋体" w:cs="宋体"/>
          <w:b/>
          <w:color w:val="000000"/>
          <w:sz w:val="52"/>
          <w:szCs w:val="52"/>
        </w:rPr>
      </w:pPr>
      <w:r>
        <w:rPr>
          <w:rFonts w:hint="eastAsia" w:asciiTheme="majorEastAsia" w:hAnsiTheme="majorEastAsia" w:eastAsiaTheme="majorEastAsia" w:cstheme="minorEastAsia"/>
          <w:b/>
          <w:sz w:val="44"/>
          <w:szCs w:val="44"/>
        </w:rPr>
        <w:t>南通市文化馆绿化养护及绿植租摆项目</w:t>
      </w:r>
    </w:p>
    <w:p>
      <w:pPr>
        <w:tabs>
          <w:tab w:val="left" w:pos="6300"/>
        </w:tabs>
        <w:snapToGrid w:val="0"/>
        <w:spacing w:line="300" w:lineRule="auto"/>
        <w:rPr>
          <w:rFonts w:ascii="宋体" w:cs="宋体"/>
          <w:b/>
          <w:color w:val="000000"/>
          <w:sz w:val="44"/>
          <w:szCs w:val="44"/>
        </w:rPr>
      </w:pPr>
    </w:p>
    <w:p>
      <w:pPr>
        <w:tabs>
          <w:tab w:val="left" w:pos="6300"/>
        </w:tabs>
        <w:snapToGrid w:val="0"/>
        <w:spacing w:line="300" w:lineRule="auto"/>
        <w:jc w:val="center"/>
        <w:rPr>
          <w:rFonts w:ascii="宋体" w:cs="宋体"/>
          <w:b/>
          <w:color w:val="000000"/>
          <w:sz w:val="44"/>
          <w:szCs w:val="44"/>
        </w:rPr>
      </w:pPr>
    </w:p>
    <w:p>
      <w:pPr>
        <w:tabs>
          <w:tab w:val="left" w:pos="6300"/>
        </w:tabs>
        <w:snapToGrid w:val="0"/>
        <w:spacing w:line="300" w:lineRule="auto"/>
        <w:jc w:val="center"/>
        <w:rPr>
          <w:rFonts w:ascii="宋体" w:cs="宋体"/>
          <w:b/>
          <w:color w:val="000000"/>
          <w:sz w:val="44"/>
          <w:szCs w:val="44"/>
        </w:rPr>
      </w:pPr>
    </w:p>
    <w:p>
      <w:pPr>
        <w:tabs>
          <w:tab w:val="left" w:pos="6300"/>
        </w:tabs>
        <w:snapToGrid w:val="0"/>
        <w:spacing w:line="300" w:lineRule="auto"/>
        <w:jc w:val="center"/>
        <w:rPr>
          <w:rFonts w:hint="eastAsia" w:ascii="宋体" w:hAnsi="宋体" w:cs="宋体"/>
          <w:b/>
          <w:color w:val="000000"/>
          <w:w w:val="80"/>
          <w:sz w:val="96"/>
          <w:szCs w:val="96"/>
        </w:rPr>
      </w:pPr>
    </w:p>
    <w:p>
      <w:pPr>
        <w:tabs>
          <w:tab w:val="left" w:pos="6300"/>
        </w:tabs>
        <w:snapToGrid w:val="0"/>
        <w:spacing w:line="300" w:lineRule="auto"/>
        <w:jc w:val="center"/>
        <w:rPr>
          <w:rFonts w:ascii="宋体" w:cs="宋体"/>
          <w:b/>
          <w:color w:val="000000"/>
          <w:w w:val="80"/>
          <w:sz w:val="96"/>
          <w:szCs w:val="96"/>
        </w:rPr>
      </w:pPr>
      <w:r>
        <w:rPr>
          <w:rFonts w:hint="eastAsia" w:ascii="宋体" w:hAnsi="宋体" w:cs="宋体"/>
          <w:b/>
          <w:color w:val="000000"/>
          <w:w w:val="80"/>
          <w:sz w:val="96"/>
          <w:szCs w:val="96"/>
        </w:rPr>
        <w:t>竞争性磋商文件</w:t>
      </w:r>
    </w:p>
    <w:p>
      <w:pPr>
        <w:jc w:val="center"/>
        <w:rPr>
          <w:rFonts w:ascii="宋体" w:cs="宋体"/>
          <w:b/>
          <w:sz w:val="44"/>
          <w:szCs w:val="44"/>
        </w:rPr>
      </w:pPr>
      <w:r>
        <w:rPr>
          <w:rFonts w:hint="eastAsia" w:ascii="宋体" w:hAnsi="宋体" w:cs="宋体"/>
          <w:b/>
          <w:sz w:val="36"/>
        </w:rPr>
        <w:t xml:space="preserve"> </w:t>
      </w:r>
    </w:p>
    <w:p>
      <w:pPr>
        <w:snapToGrid w:val="0"/>
        <w:spacing w:line="360" w:lineRule="auto"/>
        <w:rPr>
          <w:rFonts w:ascii="宋体" w:cs="宋体"/>
          <w:b/>
          <w:color w:val="000000"/>
          <w:sz w:val="36"/>
        </w:rPr>
      </w:pPr>
    </w:p>
    <w:p>
      <w:pPr>
        <w:snapToGrid w:val="0"/>
        <w:spacing w:line="360" w:lineRule="auto"/>
        <w:jc w:val="center"/>
        <w:rPr>
          <w:rFonts w:ascii="宋体" w:cs="宋体"/>
          <w:b/>
          <w:sz w:val="36"/>
        </w:rPr>
      </w:pPr>
    </w:p>
    <w:p>
      <w:pPr>
        <w:snapToGrid w:val="0"/>
        <w:spacing w:line="360" w:lineRule="auto"/>
        <w:rPr>
          <w:rFonts w:ascii="宋体" w:cs="宋体"/>
          <w:b/>
          <w:color w:val="000000"/>
          <w:sz w:val="36"/>
        </w:rPr>
      </w:pPr>
    </w:p>
    <w:p>
      <w:pPr>
        <w:snapToGrid w:val="0"/>
        <w:spacing w:line="360" w:lineRule="auto"/>
        <w:rPr>
          <w:rFonts w:ascii="宋体" w:cs="宋体"/>
          <w:b/>
          <w:color w:val="000000"/>
          <w:sz w:val="36"/>
        </w:rPr>
      </w:pPr>
    </w:p>
    <w:p>
      <w:pPr>
        <w:snapToGrid w:val="0"/>
        <w:spacing w:line="360" w:lineRule="auto"/>
        <w:rPr>
          <w:rFonts w:ascii="宋体" w:cs="宋体"/>
          <w:b/>
          <w:color w:val="000000"/>
          <w:sz w:val="36"/>
        </w:rPr>
      </w:pPr>
    </w:p>
    <w:p>
      <w:pPr>
        <w:adjustRightInd w:val="0"/>
        <w:snapToGrid w:val="0"/>
        <w:spacing w:line="480" w:lineRule="auto"/>
        <w:rPr>
          <w:rFonts w:ascii="宋体" w:cs="宋体"/>
          <w:b/>
          <w:sz w:val="30"/>
          <w:szCs w:val="30"/>
        </w:rPr>
      </w:pPr>
      <w:bookmarkStart w:id="0" w:name="_Toc11554638"/>
      <w:bookmarkStart w:id="1" w:name="_Toc521201596"/>
      <w:bookmarkStart w:id="2" w:name="_Toc12670502"/>
      <w:bookmarkStart w:id="3" w:name="_Toc94544827"/>
      <w:bookmarkStart w:id="4" w:name="_Toc94544743"/>
      <w:bookmarkStart w:id="5" w:name="_Toc8895738"/>
      <w:bookmarkStart w:id="6" w:name="_Toc521203417"/>
      <w:bookmarkStart w:id="7" w:name="_Toc11499583"/>
      <w:bookmarkStart w:id="8" w:name="_Toc94585339"/>
      <w:bookmarkStart w:id="9" w:name="_Toc11500279"/>
      <w:r>
        <w:rPr>
          <w:rFonts w:ascii="宋体" w:hAnsi="宋体" w:cs="宋体"/>
          <w:b/>
          <w:sz w:val="30"/>
          <w:szCs w:val="30"/>
        </w:rPr>
        <w:t xml:space="preserve">             </w:t>
      </w:r>
      <w:r>
        <w:rPr>
          <w:rFonts w:hint="eastAsia" w:ascii="宋体" w:hAnsi="宋体" w:cs="宋体"/>
          <w:b/>
          <w:sz w:val="30"/>
          <w:szCs w:val="30"/>
        </w:rPr>
        <w:t>采购单位：</w:t>
      </w:r>
      <w:r>
        <w:rPr>
          <w:rFonts w:hint="eastAsia" w:ascii="宋体" w:hAnsi="宋体" w:cs="宋体"/>
          <w:b/>
          <w:color w:val="000000"/>
          <w:sz w:val="30"/>
          <w:szCs w:val="30"/>
        </w:rPr>
        <w:t>南通市文化馆</w:t>
      </w:r>
    </w:p>
    <w:p>
      <w:pPr>
        <w:adjustRightInd w:val="0"/>
        <w:snapToGrid w:val="0"/>
        <w:spacing w:line="480" w:lineRule="auto"/>
        <w:rPr>
          <w:rFonts w:ascii="宋体" w:cs="宋体"/>
          <w:b/>
          <w:sz w:val="30"/>
          <w:szCs w:val="30"/>
        </w:rPr>
      </w:pPr>
      <w:r>
        <w:rPr>
          <w:rFonts w:ascii="宋体" w:hAnsi="宋体" w:cs="宋体"/>
          <w:b/>
          <w:sz w:val="30"/>
          <w:szCs w:val="30"/>
        </w:rPr>
        <w:t xml:space="preserve">             </w:t>
      </w:r>
      <w:r>
        <w:rPr>
          <w:rFonts w:hint="eastAsia" w:ascii="宋体" w:hAnsi="宋体" w:cs="宋体"/>
          <w:b/>
          <w:sz w:val="30"/>
          <w:szCs w:val="30"/>
        </w:rPr>
        <w:t>代理机构：</w:t>
      </w:r>
      <w:r>
        <w:rPr>
          <w:rFonts w:hint="eastAsia" w:ascii="宋体" w:hAnsi="宋体" w:cs="宋体"/>
          <w:b/>
          <w:color w:val="000000"/>
          <w:sz w:val="30"/>
          <w:szCs w:val="30"/>
        </w:rPr>
        <w:t>南通通城建设工程项目管理有限公司</w:t>
      </w:r>
    </w:p>
    <w:p>
      <w:pPr>
        <w:adjustRightInd w:val="0"/>
        <w:snapToGrid w:val="0"/>
        <w:spacing w:line="480" w:lineRule="auto"/>
        <w:jc w:val="center"/>
        <w:rPr>
          <w:rFonts w:ascii="宋体" w:cs="宋体"/>
          <w:b/>
          <w:color w:val="000000"/>
          <w:sz w:val="30"/>
          <w:szCs w:val="30"/>
        </w:rPr>
      </w:pPr>
      <w:r>
        <w:rPr>
          <w:rFonts w:ascii="宋体" w:hAnsi="宋体" w:cs="宋体"/>
          <w:b/>
          <w:color w:val="000000"/>
          <w:sz w:val="30"/>
          <w:szCs w:val="30"/>
        </w:rPr>
        <w:t>202</w:t>
      </w:r>
      <w:r>
        <w:rPr>
          <w:rFonts w:hint="eastAsia" w:ascii="宋体" w:hAnsi="宋体" w:cs="宋体"/>
          <w:b/>
          <w:color w:val="000000"/>
          <w:sz w:val="30"/>
          <w:szCs w:val="30"/>
        </w:rPr>
        <w:t>4年7月15日</w:t>
      </w:r>
    </w:p>
    <w:p>
      <w:pPr>
        <w:overflowPunct w:val="0"/>
        <w:rPr>
          <w:rFonts w:ascii="宋体" w:cs="宋体"/>
          <w:b/>
          <w:sz w:val="32"/>
        </w:rPr>
        <w:sectPr>
          <w:footerReference r:id="rId6" w:type="first"/>
          <w:headerReference r:id="rId3" w:type="default"/>
          <w:footerReference r:id="rId4" w:type="default"/>
          <w:footerReference r:id="rId5" w:type="even"/>
          <w:type w:val="nextColumn"/>
          <w:pgSz w:w="11906" w:h="16838"/>
          <w:pgMar w:top="1134" w:right="1113" w:bottom="1134" w:left="1255" w:header="851" w:footer="992" w:gutter="0"/>
          <w:pgNumType w:fmt="numberInDash" w:start="1"/>
          <w:cols w:space="720" w:num="1"/>
          <w:titlePg/>
          <w:docGrid w:linePitch="380" w:charSpace="-5735"/>
        </w:sectPr>
      </w:pPr>
    </w:p>
    <w:p>
      <w:pPr>
        <w:jc w:val="center"/>
        <w:rPr>
          <w:rFonts w:hint="eastAsia" w:ascii="宋体" w:hAnsi="宋体" w:cs="宋体"/>
          <w:b/>
          <w:sz w:val="44"/>
          <w:szCs w:val="44"/>
        </w:rPr>
      </w:pPr>
    </w:p>
    <w:p>
      <w:pPr>
        <w:jc w:val="center"/>
        <w:rPr>
          <w:rFonts w:ascii="宋体" w:cs="宋体"/>
          <w:b/>
          <w:sz w:val="44"/>
          <w:szCs w:val="44"/>
        </w:rPr>
      </w:pPr>
      <w:r>
        <w:rPr>
          <w:rFonts w:hint="eastAsia" w:ascii="宋体" w:hAnsi="宋体" w:cs="宋体"/>
          <w:b/>
          <w:sz w:val="44"/>
          <w:szCs w:val="44"/>
        </w:rPr>
        <w:t>竞争性磋商文件备案表</w:t>
      </w:r>
    </w:p>
    <w:p>
      <w:pPr>
        <w:jc w:val="center"/>
        <w:rPr>
          <w:rFonts w:ascii="宋体" w:cs="宋体"/>
          <w:b/>
          <w:sz w:val="44"/>
          <w:szCs w:val="44"/>
        </w:rPr>
      </w:pPr>
    </w:p>
    <w:tbl>
      <w:tblPr>
        <w:tblStyle w:val="5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7" w:hRule="atLeast"/>
          <w:jc w:val="center"/>
        </w:trPr>
        <w:tc>
          <w:tcPr>
            <w:tcW w:w="9180" w:type="dxa"/>
            <w:vAlign w:val="center"/>
          </w:tcPr>
          <w:p>
            <w:pPr>
              <w:spacing w:line="360" w:lineRule="auto"/>
              <w:ind w:firstLine="3000" w:firstLineChars="1200"/>
              <w:rPr>
                <w:rFonts w:ascii="宋体" w:cs="宋体"/>
                <w:position w:val="-48"/>
                <w:sz w:val="25"/>
              </w:rPr>
            </w:pPr>
            <w:r>
              <w:rPr>
                <w:rFonts w:hint="eastAsia" w:ascii="宋体" w:hAnsi="宋体" w:cs="宋体"/>
                <w:position w:val="-48"/>
                <w:sz w:val="25"/>
              </w:rPr>
              <w:t>编制人：杨伟</w:t>
            </w:r>
          </w:p>
          <w:p>
            <w:pPr>
              <w:tabs>
                <w:tab w:val="left" w:pos="3492"/>
              </w:tabs>
              <w:spacing w:line="360" w:lineRule="auto"/>
              <w:ind w:firstLine="3000" w:firstLineChars="1200"/>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4年7月15日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0" w:type="dxa"/>
          </w:tcPr>
          <w:p>
            <w:pPr>
              <w:spacing w:line="360" w:lineRule="auto"/>
              <w:rPr>
                <w:rFonts w:ascii="宋体" w:cs="宋体"/>
                <w:position w:val="-48"/>
                <w:sz w:val="25"/>
              </w:rPr>
            </w:pPr>
          </w:p>
          <w:p>
            <w:pPr>
              <w:spacing w:line="360" w:lineRule="auto"/>
              <w:ind w:firstLine="625" w:firstLineChars="250"/>
              <w:jc w:val="center"/>
              <w:rPr>
                <w:rFonts w:ascii="宋体" w:cs="宋体"/>
                <w:position w:val="-48"/>
                <w:sz w:val="25"/>
              </w:rPr>
            </w:pPr>
            <w:r>
              <w:rPr>
                <w:rFonts w:hint="eastAsia" w:ascii="宋体" w:hAnsi="宋体" w:cs="宋体"/>
                <w:position w:val="-48"/>
                <w:sz w:val="25"/>
              </w:rPr>
              <w:t>采购单位（盖章）</w:t>
            </w:r>
            <w:r>
              <w:rPr>
                <w:rFonts w:ascii="宋体" w:hAnsi="宋体" w:cs="宋体"/>
                <w:position w:val="-48"/>
                <w:sz w:val="25"/>
              </w:rPr>
              <w:t xml:space="preserve">            </w:t>
            </w:r>
          </w:p>
          <w:p>
            <w:pPr>
              <w:spacing w:line="360" w:lineRule="auto"/>
              <w:rPr>
                <w:rFonts w:ascii="宋体" w:cs="宋体"/>
                <w:position w:val="-48"/>
                <w:sz w:val="25"/>
              </w:rPr>
            </w:pPr>
          </w:p>
          <w:p>
            <w:pPr>
              <w:spacing w:line="360" w:lineRule="auto"/>
              <w:rPr>
                <w:rFonts w:ascii="宋体" w:cs="宋体"/>
                <w:position w:val="-48"/>
                <w:sz w:val="25"/>
              </w:rPr>
            </w:pPr>
          </w:p>
          <w:p>
            <w:pPr>
              <w:spacing w:line="360" w:lineRule="auto"/>
              <w:jc w:val="center"/>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4年7月15日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9180" w:type="dxa"/>
            <w:vAlign w:val="center"/>
          </w:tcPr>
          <w:p>
            <w:pPr>
              <w:spacing w:line="360" w:lineRule="auto"/>
              <w:jc w:val="center"/>
              <w:rPr>
                <w:rFonts w:ascii="宋体" w:cs="宋体"/>
                <w:position w:val="-48"/>
                <w:sz w:val="25"/>
              </w:rPr>
            </w:pPr>
            <w:r>
              <w:rPr>
                <w:rFonts w:ascii="宋体" w:hAnsi="宋体" w:cs="宋体"/>
                <w:position w:val="-48"/>
                <w:sz w:val="25"/>
              </w:rPr>
              <w:t xml:space="preserve"> </w:t>
            </w:r>
          </w:p>
          <w:p>
            <w:pPr>
              <w:spacing w:line="360" w:lineRule="auto"/>
              <w:jc w:val="center"/>
              <w:rPr>
                <w:rFonts w:ascii="宋体" w:cs="宋体"/>
                <w:position w:val="-48"/>
                <w:sz w:val="25"/>
              </w:rPr>
            </w:pPr>
            <w:r>
              <w:rPr>
                <w:rFonts w:ascii="宋体" w:hAnsi="宋体" w:cs="宋体"/>
                <w:position w:val="-48"/>
                <w:sz w:val="25"/>
              </w:rPr>
              <w:t xml:space="preserve">  </w:t>
            </w:r>
            <w:r>
              <w:rPr>
                <w:rFonts w:hint="eastAsia" w:ascii="宋体" w:hAnsi="宋体" w:cs="宋体"/>
                <w:position w:val="-48"/>
                <w:sz w:val="25"/>
              </w:rPr>
              <w:t>代理机构（盖章）</w:t>
            </w:r>
            <w:r>
              <w:rPr>
                <w:rFonts w:ascii="宋体" w:hAnsi="宋体" w:cs="宋体"/>
                <w:position w:val="-48"/>
                <w:sz w:val="25"/>
              </w:rPr>
              <w:t xml:space="preserve">            </w:t>
            </w:r>
          </w:p>
          <w:p>
            <w:pPr>
              <w:spacing w:line="360" w:lineRule="auto"/>
              <w:jc w:val="center"/>
              <w:rPr>
                <w:rFonts w:ascii="宋体" w:cs="宋体"/>
                <w:position w:val="-48"/>
                <w:sz w:val="25"/>
              </w:rPr>
            </w:pPr>
          </w:p>
          <w:p>
            <w:pPr>
              <w:spacing w:line="360" w:lineRule="auto"/>
              <w:jc w:val="center"/>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4年7月15日</w:t>
            </w:r>
          </w:p>
          <w:p>
            <w:pPr>
              <w:spacing w:line="360" w:lineRule="auto"/>
              <w:rPr>
                <w:rFonts w:ascii="宋体" w:cs="宋体"/>
                <w:position w:val="-48"/>
                <w:sz w:val="25"/>
              </w:rPr>
            </w:pPr>
          </w:p>
        </w:tc>
      </w:tr>
    </w:tbl>
    <w:p>
      <w:pPr>
        <w:adjustRightInd w:val="0"/>
        <w:snapToGrid w:val="0"/>
        <w:spacing w:line="360" w:lineRule="auto"/>
        <w:jc w:val="center"/>
        <w:rPr>
          <w:rFonts w:ascii="宋体" w:cs="宋体"/>
          <w:color w:val="000000"/>
          <w:w w:val="80"/>
          <w:sz w:val="32"/>
          <w:szCs w:val="32"/>
        </w:rPr>
      </w:pPr>
    </w:p>
    <w:p>
      <w:pPr>
        <w:pStyle w:val="22"/>
        <w:tabs>
          <w:tab w:val="left" w:pos="1050"/>
          <w:tab w:val="right" w:leader="dot" w:pos="9402"/>
        </w:tabs>
        <w:spacing w:line="960" w:lineRule="exact"/>
        <w:ind w:left="0"/>
        <w:jc w:val="center"/>
        <w:outlineLvl w:val="0"/>
        <w:rPr>
          <w:rFonts w:ascii="宋体" w:cs="宋体"/>
          <w:b/>
          <w:i w:val="0"/>
          <w:color w:val="000000"/>
          <w:w w:val="80"/>
          <w:sz w:val="52"/>
          <w:szCs w:val="52"/>
        </w:rPr>
      </w:pPr>
      <w:r>
        <w:rPr>
          <w:rFonts w:ascii="宋体" w:cs="宋体"/>
          <w:b/>
          <w:i w:val="0"/>
          <w:color w:val="000000"/>
          <w:w w:val="80"/>
          <w:sz w:val="52"/>
          <w:szCs w:val="52"/>
        </w:rPr>
        <w:br w:type="page"/>
      </w:r>
      <w:r>
        <w:rPr>
          <w:rFonts w:hint="eastAsia" w:ascii="宋体" w:hAnsi="宋体" w:cs="宋体"/>
          <w:b/>
          <w:i w:val="0"/>
          <w:color w:val="000000"/>
          <w:w w:val="80"/>
          <w:sz w:val="52"/>
          <w:szCs w:val="52"/>
        </w:rPr>
        <w:t>目</w:t>
      </w:r>
      <w:r>
        <w:rPr>
          <w:rFonts w:ascii="宋体" w:hAnsi="宋体" w:cs="宋体"/>
          <w:b/>
          <w:i w:val="0"/>
          <w:color w:val="000000"/>
          <w:w w:val="80"/>
          <w:sz w:val="52"/>
          <w:szCs w:val="52"/>
        </w:rPr>
        <w:t xml:space="preserve">   </w:t>
      </w:r>
      <w:r>
        <w:rPr>
          <w:rFonts w:hint="eastAsia" w:ascii="宋体" w:hAnsi="宋体" w:cs="宋体"/>
          <w:b/>
          <w:i w:val="0"/>
          <w:color w:val="000000"/>
          <w:w w:val="80"/>
          <w:sz w:val="52"/>
          <w:szCs w:val="52"/>
        </w:rPr>
        <w:t>录</w:t>
      </w:r>
    </w:p>
    <w:p>
      <w:pPr>
        <w:spacing w:line="800" w:lineRule="exact"/>
        <w:jc w:val="center"/>
        <w:rPr>
          <w:rFonts w:ascii="宋体" w:cs="宋体"/>
          <w:b/>
          <w:color w:val="000000"/>
          <w:sz w:val="52"/>
          <w:szCs w:val="52"/>
        </w:rPr>
      </w:pPr>
    </w:p>
    <w:p>
      <w:pPr>
        <w:pStyle w:val="22"/>
        <w:tabs>
          <w:tab w:val="left" w:pos="1050"/>
          <w:tab w:val="right" w:leader="dot" w:pos="9402"/>
        </w:tabs>
        <w:spacing w:line="520" w:lineRule="exact"/>
        <w:ind w:left="0"/>
        <w:rPr>
          <w:rFonts w:ascii="宋体" w:cs="宋体"/>
          <w:i w:val="0"/>
          <w:color w:val="000000"/>
          <w:w w:val="80"/>
          <w:sz w:val="36"/>
          <w:szCs w:val="36"/>
        </w:rPr>
      </w:pPr>
      <w:r>
        <w:rPr>
          <w:rFonts w:hint="eastAsia" w:ascii="宋体" w:hAnsi="宋体" w:cs="宋体"/>
          <w:i w:val="0"/>
          <w:color w:val="000000"/>
          <w:w w:val="80"/>
          <w:sz w:val="36"/>
          <w:szCs w:val="36"/>
        </w:rPr>
        <w:t>第一章</w:t>
      </w:r>
      <w:r>
        <w:rPr>
          <w:rFonts w:ascii="宋体" w:hAnsi="宋体" w:cs="宋体"/>
          <w:i w:val="0"/>
          <w:color w:val="000000"/>
          <w:w w:val="80"/>
          <w:sz w:val="36"/>
          <w:szCs w:val="36"/>
        </w:rPr>
        <w:t xml:space="preserve">       </w:t>
      </w:r>
      <w:r>
        <w:rPr>
          <w:rFonts w:hint="eastAsia" w:ascii="宋体" w:hAnsi="宋体" w:cs="宋体"/>
          <w:i w:val="0"/>
          <w:color w:val="000000"/>
          <w:w w:val="80"/>
          <w:sz w:val="36"/>
          <w:szCs w:val="36"/>
        </w:rPr>
        <w:t>竞争性磋商公告</w:t>
      </w:r>
    </w:p>
    <w:p>
      <w:pPr>
        <w:rPr>
          <w:rFonts w:ascii="宋体" w:cs="宋体"/>
          <w:color w:val="000000"/>
          <w:sz w:val="36"/>
          <w:szCs w:val="36"/>
        </w:rPr>
      </w:pPr>
    </w:p>
    <w:p>
      <w:pPr>
        <w:pStyle w:val="22"/>
        <w:tabs>
          <w:tab w:val="left" w:pos="1050"/>
          <w:tab w:val="right" w:leader="dot" w:pos="9402"/>
        </w:tabs>
        <w:spacing w:line="520" w:lineRule="exact"/>
        <w:ind w:left="0"/>
        <w:rPr>
          <w:rFonts w:ascii="宋体" w:cs="宋体"/>
          <w:i w:val="0"/>
          <w:color w:val="000000"/>
          <w:w w:val="80"/>
          <w:sz w:val="36"/>
          <w:szCs w:val="36"/>
        </w:rPr>
      </w:pPr>
      <w:r>
        <w:rPr>
          <w:rFonts w:hint="eastAsia" w:ascii="宋体" w:hAnsi="宋体" w:cs="宋体"/>
          <w:i w:val="0"/>
          <w:color w:val="000000"/>
          <w:w w:val="80"/>
          <w:sz w:val="36"/>
          <w:szCs w:val="36"/>
        </w:rPr>
        <w:t>第二章</w:t>
      </w:r>
      <w:r>
        <w:rPr>
          <w:rFonts w:ascii="宋体" w:hAnsi="宋体" w:cs="宋体"/>
          <w:i w:val="0"/>
          <w:color w:val="000000"/>
          <w:w w:val="80"/>
          <w:sz w:val="36"/>
          <w:szCs w:val="36"/>
        </w:rPr>
        <w:t xml:space="preserve">       </w:t>
      </w:r>
      <w:r>
        <w:rPr>
          <w:rFonts w:hint="eastAsia" w:ascii="宋体" w:hAnsi="宋体" w:cs="宋体"/>
          <w:i w:val="0"/>
          <w:color w:val="000000"/>
          <w:w w:val="80"/>
          <w:sz w:val="36"/>
          <w:szCs w:val="36"/>
        </w:rPr>
        <w:t>磋商供应商须知</w:t>
      </w:r>
    </w:p>
    <w:p>
      <w:pPr>
        <w:rPr>
          <w:rFonts w:ascii="宋体" w:cs="宋体"/>
          <w:color w:val="000000"/>
          <w:sz w:val="36"/>
          <w:szCs w:val="36"/>
        </w:rPr>
      </w:pPr>
    </w:p>
    <w:p>
      <w:pPr>
        <w:pStyle w:val="22"/>
        <w:tabs>
          <w:tab w:val="left" w:pos="1050"/>
          <w:tab w:val="right" w:leader="dot" w:pos="9402"/>
        </w:tabs>
        <w:spacing w:line="520" w:lineRule="exact"/>
        <w:ind w:left="1"/>
        <w:rPr>
          <w:rFonts w:ascii="宋体" w:cs="宋体"/>
          <w:i w:val="0"/>
          <w:color w:val="000000"/>
          <w:w w:val="80"/>
          <w:sz w:val="36"/>
          <w:szCs w:val="36"/>
        </w:rPr>
      </w:pPr>
      <w:r>
        <w:rPr>
          <w:rFonts w:hint="eastAsia" w:ascii="宋体" w:hAnsi="宋体" w:cs="宋体"/>
          <w:i w:val="0"/>
          <w:color w:val="000000"/>
          <w:w w:val="80"/>
          <w:sz w:val="36"/>
          <w:szCs w:val="36"/>
        </w:rPr>
        <w:t>第三章</w:t>
      </w:r>
      <w:r>
        <w:rPr>
          <w:rFonts w:ascii="宋体" w:hAnsi="宋体" w:cs="宋体"/>
          <w:i w:val="0"/>
          <w:color w:val="000000"/>
          <w:w w:val="80"/>
          <w:sz w:val="36"/>
          <w:szCs w:val="36"/>
        </w:rPr>
        <w:t xml:space="preserve">       </w:t>
      </w:r>
      <w:r>
        <w:rPr>
          <w:rFonts w:hint="eastAsia" w:ascii="宋体" w:hAnsi="宋体" w:cs="宋体"/>
          <w:i w:val="0"/>
          <w:color w:val="000000"/>
          <w:w w:val="80"/>
          <w:sz w:val="36"/>
          <w:szCs w:val="36"/>
        </w:rPr>
        <w:t>项目需求</w:t>
      </w:r>
    </w:p>
    <w:p>
      <w:pPr>
        <w:rPr>
          <w:rFonts w:ascii="宋体" w:cs="宋体"/>
          <w:color w:val="000000"/>
          <w:sz w:val="36"/>
          <w:szCs w:val="36"/>
        </w:rPr>
      </w:pPr>
    </w:p>
    <w:p>
      <w:pPr>
        <w:pStyle w:val="22"/>
        <w:tabs>
          <w:tab w:val="left" w:pos="1050"/>
          <w:tab w:val="right" w:leader="dot" w:pos="9402"/>
        </w:tabs>
        <w:spacing w:line="520" w:lineRule="exact"/>
        <w:ind w:left="0"/>
        <w:rPr>
          <w:rFonts w:ascii="宋体" w:cs="宋体"/>
          <w:i w:val="0"/>
          <w:color w:val="000000"/>
          <w:w w:val="80"/>
          <w:sz w:val="36"/>
          <w:szCs w:val="36"/>
        </w:rPr>
      </w:pPr>
      <w:r>
        <w:rPr>
          <w:rFonts w:hint="eastAsia" w:ascii="宋体" w:hAnsi="宋体" w:cs="宋体"/>
          <w:i w:val="0"/>
          <w:color w:val="000000"/>
          <w:w w:val="80"/>
          <w:sz w:val="36"/>
          <w:szCs w:val="36"/>
        </w:rPr>
        <w:t>第四章</w:t>
      </w:r>
      <w:r>
        <w:rPr>
          <w:rFonts w:ascii="宋体" w:hAnsi="宋体" w:cs="宋体"/>
          <w:i w:val="0"/>
          <w:color w:val="000000"/>
          <w:w w:val="80"/>
          <w:sz w:val="36"/>
          <w:szCs w:val="36"/>
        </w:rPr>
        <w:t xml:space="preserve">       </w:t>
      </w:r>
      <w:r>
        <w:rPr>
          <w:rFonts w:hint="eastAsia" w:ascii="宋体" w:hAnsi="宋体" w:cs="宋体"/>
          <w:i w:val="0"/>
          <w:color w:val="000000"/>
          <w:w w:val="80"/>
          <w:sz w:val="36"/>
          <w:szCs w:val="36"/>
        </w:rPr>
        <w:t>评审方法和程序</w:t>
      </w:r>
    </w:p>
    <w:p>
      <w:pPr>
        <w:rPr>
          <w:rFonts w:ascii="宋体" w:cs="宋体"/>
          <w:i/>
          <w:color w:val="000000"/>
          <w:w w:val="80"/>
          <w:sz w:val="36"/>
          <w:szCs w:val="36"/>
        </w:rPr>
      </w:pPr>
    </w:p>
    <w:p>
      <w:pPr>
        <w:pStyle w:val="22"/>
        <w:numPr>
          <w:ilvl w:val="0"/>
          <w:numId w:val="1"/>
        </w:numPr>
        <w:tabs>
          <w:tab w:val="left" w:pos="1050"/>
          <w:tab w:val="right" w:leader="dot" w:pos="9402"/>
        </w:tabs>
        <w:spacing w:line="520" w:lineRule="exact"/>
        <w:ind w:left="0"/>
        <w:rPr>
          <w:rFonts w:ascii="宋体" w:cs="宋体"/>
          <w:i w:val="0"/>
          <w:iCs/>
          <w:color w:val="000000"/>
          <w:w w:val="80"/>
          <w:sz w:val="36"/>
          <w:szCs w:val="36"/>
        </w:rPr>
      </w:pPr>
      <w:r>
        <w:rPr>
          <w:rFonts w:ascii="宋体" w:hAnsi="宋体" w:cs="宋体"/>
          <w:i w:val="0"/>
          <w:iCs/>
          <w:color w:val="000000"/>
          <w:w w:val="80"/>
          <w:sz w:val="36"/>
          <w:szCs w:val="36"/>
        </w:rPr>
        <w:t xml:space="preserve">      </w:t>
      </w:r>
      <w:r>
        <w:rPr>
          <w:rFonts w:hint="eastAsia" w:ascii="宋体" w:hAnsi="宋体" w:cs="宋体"/>
          <w:i w:val="0"/>
          <w:iCs/>
          <w:color w:val="000000"/>
          <w:w w:val="80"/>
          <w:sz w:val="36"/>
          <w:szCs w:val="36"/>
        </w:rPr>
        <w:t>合同授予</w:t>
      </w:r>
    </w:p>
    <w:p>
      <w:pPr>
        <w:rPr>
          <w:rFonts w:ascii="宋体" w:cs="宋体"/>
          <w:color w:val="000000"/>
          <w:sz w:val="36"/>
          <w:szCs w:val="36"/>
        </w:rPr>
      </w:pPr>
    </w:p>
    <w:p>
      <w:pPr>
        <w:pStyle w:val="22"/>
        <w:tabs>
          <w:tab w:val="left" w:pos="1050"/>
          <w:tab w:val="right" w:leader="dot" w:pos="9402"/>
        </w:tabs>
        <w:spacing w:line="520" w:lineRule="exact"/>
        <w:ind w:left="0"/>
        <w:rPr>
          <w:rFonts w:ascii="宋体" w:cs="宋体"/>
          <w:i w:val="0"/>
          <w:color w:val="000000"/>
          <w:w w:val="80"/>
          <w:sz w:val="36"/>
          <w:szCs w:val="36"/>
        </w:rPr>
      </w:pPr>
      <w:r>
        <w:rPr>
          <w:rFonts w:hint="eastAsia" w:ascii="宋体" w:hAnsi="宋体" w:cs="宋体"/>
          <w:i w:val="0"/>
          <w:color w:val="000000"/>
          <w:w w:val="80"/>
          <w:sz w:val="36"/>
          <w:szCs w:val="36"/>
        </w:rPr>
        <w:t>第六章</w:t>
      </w:r>
      <w:r>
        <w:rPr>
          <w:rFonts w:ascii="宋体" w:hAnsi="宋体" w:cs="宋体"/>
          <w:i w:val="0"/>
          <w:color w:val="000000"/>
          <w:w w:val="80"/>
          <w:sz w:val="36"/>
          <w:szCs w:val="36"/>
        </w:rPr>
        <w:t xml:space="preserve">       </w:t>
      </w:r>
      <w:r>
        <w:rPr>
          <w:rFonts w:hint="eastAsia" w:ascii="宋体" w:hAnsi="宋体" w:cs="宋体"/>
          <w:i w:val="0"/>
          <w:color w:val="000000"/>
          <w:w w:val="80"/>
          <w:sz w:val="36"/>
          <w:szCs w:val="36"/>
        </w:rPr>
        <w:t>响应文件组成及格式</w:t>
      </w:r>
    </w:p>
    <w:p>
      <w:pPr>
        <w:rPr>
          <w:rFonts w:ascii="宋体" w:cs="宋体"/>
          <w:color w:val="000000"/>
          <w:sz w:val="36"/>
          <w:szCs w:val="36"/>
        </w:rPr>
      </w:pPr>
    </w:p>
    <w:p>
      <w:pPr>
        <w:rPr>
          <w:rFonts w:ascii="宋体" w:cs="宋体"/>
          <w:color w:val="000000"/>
          <w:sz w:val="36"/>
          <w:szCs w:val="36"/>
        </w:rPr>
      </w:pPr>
    </w:p>
    <w:p>
      <w:pPr>
        <w:snapToGrid w:val="0"/>
        <w:spacing w:line="360" w:lineRule="auto"/>
        <w:rPr>
          <w:rFonts w:ascii="宋体" w:cs="宋体"/>
          <w:b/>
          <w:color w:val="000000"/>
          <w:szCs w:val="21"/>
        </w:rPr>
      </w:pPr>
      <w:r>
        <w:rPr>
          <w:rFonts w:ascii="宋体" w:cs="宋体"/>
          <w:b/>
          <w:color w:val="000000"/>
          <w:szCs w:val="21"/>
        </w:rPr>
        <w:br w:type="page"/>
      </w:r>
    </w:p>
    <w:p>
      <w:pPr>
        <w:snapToGrid w:val="0"/>
        <w:spacing w:line="360" w:lineRule="auto"/>
        <w:rPr>
          <w:rFonts w:ascii="宋体" w:cs="宋体"/>
          <w:b/>
          <w:color w:val="000000"/>
          <w:szCs w:val="21"/>
        </w:rPr>
      </w:pPr>
      <w:r>
        <w:rPr>
          <w:rFonts w:hint="eastAsia" w:ascii="宋体" w:hAnsi="宋体" w:cs="宋体"/>
          <w:b/>
          <w:color w:val="000000"/>
          <w:szCs w:val="21"/>
        </w:rPr>
        <w:t>尊敬的磋商供应商：</w:t>
      </w:r>
    </w:p>
    <w:p>
      <w:pPr>
        <w:snapToGrid w:val="0"/>
        <w:spacing w:line="360" w:lineRule="auto"/>
        <w:ind w:firstLine="422" w:firstLineChars="200"/>
        <w:rPr>
          <w:rFonts w:ascii="宋体" w:cs="宋体"/>
          <w:b/>
          <w:color w:val="000000"/>
          <w:szCs w:val="21"/>
        </w:rPr>
      </w:pPr>
      <w:r>
        <w:rPr>
          <w:rFonts w:hint="eastAsia" w:ascii="宋体" w:hAnsi="宋体" w:cs="宋体"/>
          <w:b/>
          <w:color w:val="000000"/>
          <w:szCs w:val="21"/>
        </w:rPr>
        <w:t>欢迎参加本采购项目的竞争性磋商。为了保证本次磋商项目顺利进行，请在制作响应文件之前，仔细阅读本竞争性磋商文件的各项条款，并按要求制作和递交响应文件。谢谢合作！</w:t>
      </w:r>
    </w:p>
    <w:p>
      <w:pPr>
        <w:pStyle w:val="22"/>
        <w:tabs>
          <w:tab w:val="left" w:pos="1050"/>
          <w:tab w:val="right" w:leader="dot" w:pos="9402"/>
        </w:tabs>
        <w:spacing w:line="360" w:lineRule="auto"/>
        <w:ind w:left="0"/>
        <w:jc w:val="center"/>
        <w:outlineLvl w:val="0"/>
        <w:rPr>
          <w:rFonts w:hint="eastAsia" w:cs="宋体" w:asciiTheme="minorEastAsia" w:hAnsiTheme="minorEastAsia" w:eastAsiaTheme="minorEastAsia"/>
          <w:b/>
          <w:i w:val="0"/>
          <w:color w:val="000000"/>
          <w:w w:val="80"/>
          <w:sz w:val="44"/>
          <w:szCs w:val="44"/>
        </w:rPr>
      </w:pPr>
      <w:bookmarkStart w:id="10" w:name="_Toc363573853"/>
      <w:r>
        <w:rPr>
          <w:rFonts w:hint="eastAsia" w:cs="宋体" w:asciiTheme="minorEastAsia" w:hAnsiTheme="minorEastAsia" w:eastAsiaTheme="minorEastAsia"/>
          <w:b/>
          <w:i w:val="0"/>
          <w:color w:val="000000"/>
          <w:w w:val="80"/>
          <w:sz w:val="44"/>
          <w:szCs w:val="44"/>
        </w:rPr>
        <w:t>第一章</w:t>
      </w:r>
      <w:r>
        <w:rPr>
          <w:rFonts w:cs="宋体" w:asciiTheme="minorEastAsia" w:hAnsiTheme="minorEastAsia" w:eastAsiaTheme="minorEastAsia"/>
          <w:b/>
          <w:i w:val="0"/>
          <w:color w:val="000000"/>
          <w:w w:val="80"/>
          <w:sz w:val="44"/>
          <w:szCs w:val="44"/>
        </w:rPr>
        <w:t xml:space="preserve">  </w:t>
      </w:r>
      <w:r>
        <w:rPr>
          <w:rFonts w:hint="eastAsia" w:cs="宋体" w:asciiTheme="minorEastAsia" w:hAnsiTheme="minorEastAsia" w:eastAsiaTheme="minorEastAsia"/>
          <w:b/>
          <w:i w:val="0"/>
          <w:color w:val="000000"/>
          <w:w w:val="80"/>
          <w:sz w:val="44"/>
          <w:szCs w:val="44"/>
        </w:rPr>
        <w:t>竞争性磋商公</w:t>
      </w:r>
      <w:bookmarkEnd w:id="0"/>
      <w:bookmarkEnd w:id="1"/>
      <w:bookmarkEnd w:id="2"/>
      <w:bookmarkEnd w:id="3"/>
      <w:bookmarkEnd w:id="4"/>
      <w:bookmarkEnd w:id="5"/>
      <w:bookmarkEnd w:id="6"/>
      <w:bookmarkEnd w:id="7"/>
      <w:bookmarkEnd w:id="8"/>
      <w:bookmarkEnd w:id="9"/>
      <w:r>
        <w:rPr>
          <w:rFonts w:hint="eastAsia" w:cs="宋体" w:asciiTheme="minorEastAsia" w:hAnsiTheme="minorEastAsia" w:eastAsiaTheme="minorEastAsia"/>
          <w:b/>
          <w:i w:val="0"/>
          <w:color w:val="000000"/>
          <w:w w:val="80"/>
          <w:sz w:val="44"/>
          <w:szCs w:val="44"/>
        </w:rPr>
        <w:t>告</w:t>
      </w:r>
      <w:bookmarkEnd w:id="10"/>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u w:val="single"/>
        </w:rPr>
        <w:t>南通市文化馆绿化养护及绿植租摆项目</w:t>
      </w:r>
      <w:r>
        <w:rPr>
          <w:rFonts w:hint="eastAsia" w:asciiTheme="minorEastAsia" w:hAnsiTheme="minorEastAsia" w:eastAsiaTheme="minorEastAsia"/>
          <w:sz w:val="24"/>
          <w:szCs w:val="24"/>
        </w:rPr>
        <w:t>的潜在供应商应在</w:t>
      </w:r>
      <w:r>
        <w:rPr>
          <w:rFonts w:hint="eastAsia" w:asciiTheme="minorEastAsia" w:hAnsiTheme="minorEastAsia" w:eastAsiaTheme="minorEastAsia"/>
          <w:sz w:val="24"/>
          <w:szCs w:val="24"/>
          <w:u w:val="single"/>
        </w:rPr>
        <w:t>南通市文化广电和旅游局-政府采购栏、南通市文化馆-公告公示栏</w:t>
      </w:r>
      <w:r>
        <w:rPr>
          <w:rFonts w:hint="eastAsia" w:asciiTheme="minorEastAsia" w:hAnsiTheme="minorEastAsia" w:eastAsiaTheme="minorEastAsia"/>
          <w:sz w:val="24"/>
          <w:szCs w:val="24"/>
        </w:rPr>
        <w:t>获取采购文件，并于</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2024</w:t>
      </w:r>
      <w:r>
        <w:rPr>
          <w:rFonts w:hint="eastAsia" w:asciiTheme="minorEastAsia" w:hAnsiTheme="minorEastAsia" w:eastAsiaTheme="minorEastAsia"/>
          <w:bCs/>
          <w:sz w:val="24"/>
          <w:szCs w:val="24"/>
          <w:u w:val="single"/>
        </w:rPr>
        <w:t>年7月25日9点00分</w:t>
      </w:r>
      <w:r>
        <w:rPr>
          <w:rFonts w:hint="eastAsia" w:asciiTheme="minorEastAsia" w:hAnsiTheme="minorEastAsia" w:eastAsiaTheme="minorEastAsia"/>
          <w:bCs/>
          <w:sz w:val="24"/>
          <w:szCs w:val="24"/>
        </w:rPr>
        <w:t>（北京时间）前提交响应</w:t>
      </w:r>
      <w:r>
        <w:rPr>
          <w:rFonts w:asciiTheme="minorEastAsia" w:hAnsiTheme="minorEastAsia" w:eastAsiaTheme="minorEastAsia"/>
          <w:bCs/>
          <w:sz w:val="24"/>
          <w:szCs w:val="24"/>
        </w:rPr>
        <w:t>文件</w:t>
      </w:r>
      <w:r>
        <w:rPr>
          <w:rFonts w:hint="eastAsia" w:asciiTheme="minorEastAsia" w:hAnsiTheme="minorEastAsia" w:eastAsiaTheme="minorEastAsia"/>
          <w:sz w:val="24"/>
          <w:szCs w:val="24"/>
        </w:rPr>
        <w:t>。</w:t>
      </w:r>
    </w:p>
    <w:p>
      <w:pPr>
        <w:widowControl/>
        <w:shd w:val="clear" w:color="auto" w:fill="FFFFFF"/>
        <w:spacing w:line="360" w:lineRule="auto"/>
        <w:ind w:firstLine="238"/>
        <w:jc w:val="left"/>
        <w:rPr>
          <w:rFonts w:hint="eastAsia" w:cs="Arial" w:asciiTheme="majorEastAsia" w:hAnsiTheme="majorEastAsia" w:eastAsiaTheme="majorEastAsia"/>
          <w:b/>
          <w:bCs/>
          <w:kern w:val="0"/>
          <w:sz w:val="24"/>
          <w:szCs w:val="24"/>
        </w:rPr>
      </w:pPr>
      <w:bookmarkStart w:id="11" w:name="_Toc8895739"/>
      <w:bookmarkStart w:id="12" w:name="_Toc94544744"/>
      <w:bookmarkStart w:id="13" w:name="_Toc12670503"/>
      <w:bookmarkStart w:id="14" w:name="_Toc11500280"/>
      <w:bookmarkStart w:id="15" w:name="_Toc94544828"/>
      <w:bookmarkStart w:id="16" w:name="_Toc521203418"/>
      <w:bookmarkStart w:id="17" w:name="_Toc11554639"/>
      <w:bookmarkStart w:id="18" w:name="_Toc521201597"/>
      <w:bookmarkStart w:id="19" w:name="_Toc11499584"/>
      <w:bookmarkStart w:id="20" w:name="_Toc94585340"/>
      <w:bookmarkStart w:id="21" w:name="_Toc363573854"/>
      <w:r>
        <w:rPr>
          <w:rFonts w:hint="eastAsia" w:cs="Arial" w:asciiTheme="majorEastAsia" w:hAnsiTheme="majorEastAsia" w:eastAsiaTheme="majorEastAsia"/>
          <w:b/>
          <w:bCs/>
          <w:kern w:val="0"/>
          <w:sz w:val="24"/>
          <w:szCs w:val="24"/>
        </w:rPr>
        <w:t>一、项目基本情况：</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项目编号：</w:t>
      </w:r>
      <w:r>
        <w:rPr>
          <w:rFonts w:cs="宋体" w:asciiTheme="minorEastAsia" w:hAnsiTheme="minorEastAsia" w:eastAsiaTheme="minorEastAsia"/>
          <w:sz w:val="24"/>
          <w:szCs w:val="24"/>
        </w:rPr>
        <w:t>NTWC20240</w:t>
      </w:r>
      <w:r>
        <w:rPr>
          <w:rFonts w:hint="eastAsia" w:cs="宋体" w:asciiTheme="minorEastAsia" w:hAnsiTheme="minorEastAsia" w:eastAsiaTheme="minorEastAsia"/>
          <w:sz w:val="24"/>
          <w:szCs w:val="24"/>
        </w:rPr>
        <w:t>33</w:t>
      </w:r>
      <w:r>
        <w:rPr>
          <w:rFonts w:hint="eastAsia" w:ascii="宋体" w:hAnsi="宋体" w:cs="Arial"/>
          <w:kern w:val="0"/>
          <w:sz w:val="24"/>
          <w:szCs w:val="24"/>
        </w:rPr>
        <w:t xml:space="preserve"> </w:t>
      </w:r>
    </w:p>
    <w:p>
      <w:pPr>
        <w:widowControl/>
        <w:shd w:val="clear" w:color="auto" w:fill="FFFFFF"/>
        <w:spacing w:line="360" w:lineRule="auto"/>
        <w:ind w:firstLine="240" w:firstLineChars="100"/>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项目名称：南通市文化馆绿化养护及绿植租摆项目；</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采购方式：竞争性磋商；</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预算金额：人民币16.5万元；</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最高限价：人民币16.5万元，磋商报价超过最高限价的为无效报价；</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采购需求：具体需求详见竞争性磋商文件第三章；</w:t>
      </w:r>
    </w:p>
    <w:p>
      <w:pPr>
        <w:widowControl/>
        <w:shd w:val="clear" w:color="auto" w:fill="FFFFFF"/>
        <w:spacing w:line="360" w:lineRule="auto"/>
        <w:ind w:firstLine="238"/>
        <w:jc w:val="left"/>
        <w:rPr>
          <w:rFonts w:hint="eastAsia" w:ascii="宋体" w:hAnsi="宋体" w:cs="宋体"/>
          <w:sz w:val="24"/>
          <w:szCs w:val="24"/>
        </w:rPr>
      </w:pPr>
      <w:r>
        <w:rPr>
          <w:rFonts w:hint="eastAsia" w:ascii="宋体" w:hAnsi="宋体" w:cs="宋体"/>
          <w:sz w:val="24"/>
          <w:szCs w:val="24"/>
        </w:rPr>
        <w:t>服务期：绿化养护11个月（2024年8月1日-2025年6月30日）</w:t>
      </w:r>
    </w:p>
    <w:p>
      <w:pPr>
        <w:widowControl/>
        <w:shd w:val="clear" w:color="auto" w:fill="FFFFFF"/>
        <w:spacing w:line="360" w:lineRule="auto"/>
        <w:ind w:firstLine="238"/>
        <w:jc w:val="left"/>
        <w:rPr>
          <w:rFonts w:hint="eastAsia" w:ascii="宋体" w:hAnsi="宋体" w:cs="宋体"/>
          <w:sz w:val="24"/>
          <w:szCs w:val="24"/>
        </w:rPr>
      </w:pPr>
      <w:r>
        <w:rPr>
          <w:rFonts w:hint="eastAsia" w:ascii="宋体" w:hAnsi="宋体" w:cs="宋体"/>
          <w:sz w:val="24"/>
          <w:szCs w:val="24"/>
        </w:rPr>
        <w:t xml:space="preserve">        绿植租摆9个月（2024年10月1日-2025年6月30日）</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本项目不接受联合体。</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b/>
          <w:bCs/>
          <w:kern w:val="0"/>
          <w:sz w:val="24"/>
          <w:szCs w:val="24"/>
        </w:rPr>
        <w:t>二、申请人的资格要求</w:t>
      </w:r>
    </w:p>
    <w:p>
      <w:pPr>
        <w:widowControl/>
        <w:shd w:val="clear" w:color="auto" w:fill="FFFFFF"/>
        <w:spacing w:line="360" w:lineRule="auto"/>
        <w:ind w:firstLine="480" w:firstLineChars="200"/>
        <w:jc w:val="left"/>
        <w:rPr>
          <w:rFonts w:hint="eastAsia" w:cs="宋体"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1、本项目的基本资格要求：</w:t>
      </w:r>
      <w:r>
        <w:rPr>
          <w:rFonts w:ascii="宋体" w:hAnsi="宋体"/>
          <w:sz w:val="24"/>
          <w:szCs w:val="24"/>
        </w:rPr>
        <w:t>具有独立承担民事责任的能力</w:t>
      </w:r>
      <w:r>
        <w:rPr>
          <w:rFonts w:hint="eastAsia" w:ascii="宋体" w:hAnsi="宋体"/>
          <w:sz w:val="24"/>
          <w:szCs w:val="24"/>
        </w:rPr>
        <w:t>；</w:t>
      </w:r>
      <w:r>
        <w:rPr>
          <w:rFonts w:ascii="宋体" w:hAnsi="宋体"/>
          <w:sz w:val="24"/>
          <w:szCs w:val="24"/>
        </w:rPr>
        <w:t>具有</w:t>
      </w:r>
      <w:r>
        <w:rPr>
          <w:rFonts w:hint="eastAsia" w:ascii="宋体" w:hAnsi="宋体"/>
          <w:sz w:val="24"/>
          <w:szCs w:val="24"/>
        </w:rPr>
        <w:t>良好的商业信誉和健全的财务会计制度；具有履行合同所必需的设备和专业技术能力；有依法缴纳税收和社会保障资金的良好记录；参加采购活动前三年内，在经营活动中没有重大违法记录。</w:t>
      </w:r>
    </w:p>
    <w:p>
      <w:pPr>
        <w:widowControl/>
        <w:shd w:val="clear" w:color="auto" w:fill="FFFFFF"/>
        <w:spacing w:line="360" w:lineRule="auto"/>
        <w:ind w:firstLine="480" w:firstLineChars="200"/>
        <w:jc w:val="left"/>
        <w:rPr>
          <w:rFonts w:hint="eastAsia" w:cs="宋体" w:asciiTheme="majorEastAsia" w:hAnsiTheme="majorEastAsia" w:eastAsiaTheme="majorEastAsia"/>
          <w:sz w:val="24"/>
          <w:szCs w:val="24"/>
        </w:rPr>
      </w:pPr>
      <w:r>
        <w:rPr>
          <w:rFonts w:hint="eastAsia" w:cs="宋体" w:asciiTheme="majorEastAsia" w:hAnsiTheme="majorEastAsia" w:eastAsiaTheme="majorEastAsia"/>
          <w:kern w:val="0"/>
          <w:sz w:val="24"/>
          <w:szCs w:val="24"/>
        </w:rPr>
        <w:t>2、</w:t>
      </w:r>
      <w:r>
        <w:rPr>
          <w:rFonts w:hint="eastAsia" w:cs="宋体" w:asciiTheme="majorEastAsia" w:hAnsiTheme="majorEastAsia" w:eastAsiaTheme="majorEastAsia"/>
          <w:sz w:val="24"/>
          <w:szCs w:val="24"/>
        </w:rPr>
        <w:t>本项目的特定资格要求：</w:t>
      </w:r>
      <w:r>
        <w:rPr>
          <w:rFonts w:cs="宋体" w:asciiTheme="majorEastAsia" w:hAnsiTheme="majorEastAsia" w:eastAsiaTheme="majorEastAsia"/>
          <w:sz w:val="24"/>
          <w:szCs w:val="24"/>
        </w:rPr>
        <w:t xml:space="preserve"> </w:t>
      </w:r>
    </w:p>
    <w:p>
      <w:pPr>
        <w:spacing w:line="360" w:lineRule="auto"/>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宋体" w:hAnsi="宋体"/>
          <w:sz w:val="24"/>
          <w:szCs w:val="24"/>
        </w:rPr>
        <w:t>投标供应商需提供有效的法人或者其他组织的营业执照等证明文件。</w:t>
      </w:r>
    </w:p>
    <w:p>
      <w:pPr>
        <w:spacing w:line="360" w:lineRule="auto"/>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宋体" w:hAnsi="宋体"/>
          <w:sz w:val="24"/>
          <w:szCs w:val="24"/>
        </w:rPr>
        <w:t>供应商法定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r>
        <w:rPr>
          <w:rFonts w:hint="eastAsia" w:asciiTheme="majorEastAsia" w:hAnsiTheme="majorEastAsia" w:eastAsiaTheme="majorEastAsia"/>
          <w:sz w:val="24"/>
          <w:szCs w:val="24"/>
        </w:rPr>
        <w:t>。</w:t>
      </w:r>
    </w:p>
    <w:p>
      <w:pPr>
        <w:widowControl/>
        <w:tabs>
          <w:tab w:val="left" w:pos="0"/>
          <w:tab w:val="left" w:pos="993"/>
          <w:tab w:val="left" w:pos="1135"/>
        </w:tabs>
        <w:adjustRightInd w:val="0"/>
        <w:snapToGrid w:val="0"/>
        <w:spacing w:line="480" w:lineRule="exact"/>
        <w:ind w:firstLine="482" w:firstLineChars="200"/>
        <w:jc w:val="left"/>
        <w:rPr>
          <w:rFonts w:ascii="宋体"/>
          <w:b/>
          <w:sz w:val="24"/>
          <w:szCs w:val="24"/>
          <w:u w:val="single"/>
        </w:rPr>
      </w:pPr>
      <w:r>
        <w:rPr>
          <w:rFonts w:hint="eastAsia" w:ascii="宋体" w:hAnsi="宋体" w:cs="宋体"/>
          <w:b/>
          <w:kern w:val="0"/>
          <w:sz w:val="24"/>
          <w:szCs w:val="24"/>
        </w:rPr>
        <w:t>（3）</w:t>
      </w:r>
      <w:r>
        <w:rPr>
          <w:rFonts w:hint="eastAsia" w:ascii="宋体" w:hAnsi="宋体"/>
          <w:b/>
          <w:kern w:val="0"/>
          <w:sz w:val="24"/>
          <w:szCs w:val="24"/>
        </w:rPr>
        <w:t>拟派项目负责人必须并具备下列条件之一</w:t>
      </w:r>
      <w:r>
        <w:rPr>
          <w:rFonts w:hint="eastAsia" w:ascii="宋体" w:hAnsi="宋体"/>
          <w:b/>
          <w:sz w:val="24"/>
          <w:szCs w:val="24"/>
        </w:rPr>
        <w:t>：</w:t>
      </w:r>
      <w:r>
        <w:rPr>
          <w:rFonts w:ascii="宋体" w:hAnsi="宋体"/>
          <w:b/>
          <w:sz w:val="24"/>
          <w:szCs w:val="24"/>
          <w:u w:val="single"/>
        </w:rPr>
        <w:t xml:space="preserve"> </w:t>
      </w:r>
      <w:r>
        <w:rPr>
          <w:rFonts w:hint="eastAsia" w:ascii="宋体" w:hAnsi="宋体"/>
          <w:b/>
          <w:sz w:val="24"/>
          <w:szCs w:val="24"/>
          <w:u w:val="single"/>
        </w:rPr>
        <w:t>①获得国家级园林绿化及相关专业中级及以上职称的技术人员；②具有中专以上（含中专）学历、获得园林绿化及相关专业初级职称</w:t>
      </w:r>
      <w:r>
        <w:rPr>
          <w:rFonts w:ascii="宋体" w:hAnsi="宋体"/>
          <w:b/>
          <w:sz w:val="24"/>
          <w:szCs w:val="24"/>
          <w:u w:val="single"/>
        </w:rPr>
        <w:t>3</w:t>
      </w:r>
      <w:r>
        <w:rPr>
          <w:rFonts w:hint="eastAsia" w:ascii="宋体" w:hAnsi="宋体"/>
          <w:b/>
          <w:sz w:val="24"/>
          <w:szCs w:val="24"/>
          <w:u w:val="single"/>
        </w:rPr>
        <w:t>年以上的技术人员；③获得园林绿化及相关专业初级职称且从事园林绿化工作</w:t>
      </w:r>
      <w:r>
        <w:rPr>
          <w:rFonts w:ascii="宋体" w:hAnsi="宋体"/>
          <w:b/>
          <w:sz w:val="24"/>
          <w:szCs w:val="24"/>
          <w:u w:val="single"/>
        </w:rPr>
        <w:t>8</w:t>
      </w:r>
      <w:r>
        <w:rPr>
          <w:rFonts w:hint="eastAsia" w:ascii="宋体" w:hAnsi="宋体"/>
          <w:b/>
          <w:sz w:val="24"/>
          <w:szCs w:val="24"/>
          <w:u w:val="single"/>
        </w:rPr>
        <w:t>年以上的技术人员。</w:t>
      </w:r>
    </w:p>
    <w:p>
      <w:pPr>
        <w:widowControl/>
        <w:snapToGrid w:val="0"/>
        <w:spacing w:line="360" w:lineRule="auto"/>
        <w:ind w:firstLine="472" w:firstLineChars="196"/>
        <w:jc w:val="left"/>
        <w:rPr>
          <w:rFonts w:hint="eastAsia" w:ascii="宋体" w:hAnsi="宋体"/>
          <w:b/>
          <w:sz w:val="24"/>
          <w:szCs w:val="24"/>
          <w:u w:val="single"/>
        </w:rPr>
      </w:pPr>
      <w:r>
        <w:rPr>
          <w:rFonts w:hint="eastAsia" w:ascii="宋体" w:hAnsi="宋体"/>
          <w:b/>
          <w:sz w:val="24"/>
          <w:szCs w:val="24"/>
          <w:u w:val="single"/>
        </w:rPr>
        <w:t>园林绿化及相关专业：包括园林（含园林规划设计、园林植物、风景园林、园林绿化等）、园艺、景观、植物（含植保、森保等）等专业。</w:t>
      </w:r>
    </w:p>
    <w:p>
      <w:pPr>
        <w:widowControl/>
        <w:snapToGrid w:val="0"/>
        <w:spacing w:line="360" w:lineRule="auto"/>
        <w:ind w:firstLine="472" w:firstLineChars="196"/>
        <w:jc w:val="left"/>
        <w:rPr>
          <w:rFonts w:ascii="宋体"/>
          <w:b/>
          <w:bCs/>
          <w:sz w:val="24"/>
          <w:szCs w:val="24"/>
          <w:lang w:val="zh-CN"/>
        </w:rPr>
      </w:pPr>
      <w:r>
        <w:rPr>
          <w:rFonts w:hint="eastAsia" w:ascii="宋体" w:hAnsi="宋体"/>
          <w:b/>
          <w:sz w:val="24"/>
          <w:szCs w:val="24"/>
        </w:rPr>
        <w:t>提供</w:t>
      </w:r>
      <w:r>
        <w:rPr>
          <w:rFonts w:hint="eastAsia" w:ascii="宋体" w:hAnsi="宋体"/>
          <w:b/>
          <w:bCs/>
          <w:sz w:val="24"/>
          <w:szCs w:val="24"/>
          <w:lang w:val="zh-CN"/>
        </w:rPr>
        <w:t>拟派项目负责人的园林绿化职称证书及相关证明材料复印件（若职称证书不能显示园林绿化及相关专业的，须同时提供毕业证书及相关证明；工作年限证明（仅需初级职称的提供）格式自拟）。</w:t>
      </w:r>
    </w:p>
    <w:p>
      <w:pPr>
        <w:widowControl/>
        <w:shd w:val="clear" w:color="auto" w:fill="FFFFFF"/>
        <w:spacing w:line="360" w:lineRule="auto"/>
        <w:ind w:firstLine="482" w:firstLineChars="200"/>
        <w:jc w:val="left"/>
        <w:rPr>
          <w:rFonts w:hint="eastAsia" w:ascii="宋体" w:hAnsi="宋体"/>
          <w:kern w:val="0"/>
          <w:sz w:val="24"/>
          <w:szCs w:val="24"/>
        </w:rPr>
      </w:pPr>
      <w:r>
        <w:rPr>
          <w:rFonts w:hint="eastAsia" w:ascii="宋体" w:hAnsi="宋体"/>
          <w:b/>
          <w:bCs/>
          <w:sz w:val="24"/>
          <w:szCs w:val="24"/>
          <w:lang w:val="zh-CN"/>
        </w:rPr>
        <w:t>（4）</w:t>
      </w:r>
      <w:r>
        <w:rPr>
          <w:rFonts w:hint="eastAsia" w:ascii="宋体" w:hAnsi="宋体" w:cs="宋体"/>
          <w:b/>
          <w:kern w:val="0"/>
          <w:sz w:val="24"/>
        </w:rPr>
        <w:t>拟派项目负责人</w:t>
      </w:r>
      <w:r>
        <w:rPr>
          <w:rFonts w:hint="eastAsia" w:ascii="宋体" w:hAnsi="宋体"/>
          <w:b/>
          <w:bCs/>
          <w:sz w:val="24"/>
          <w:lang w:val="zh-CN"/>
        </w:rPr>
        <w:t>必须为投标供应商正式人员，需提供与投标人签订的有效劳动合同复印件。</w:t>
      </w:r>
    </w:p>
    <w:p>
      <w:pPr>
        <w:widowControl/>
        <w:shd w:val="clear" w:color="auto" w:fill="FFFFFF"/>
        <w:spacing w:line="360" w:lineRule="auto"/>
        <w:ind w:firstLine="480" w:firstLineChars="200"/>
        <w:jc w:val="left"/>
        <w:rPr>
          <w:rFonts w:hint="eastAsia" w:asciiTheme="majorEastAsia" w:hAnsiTheme="majorEastAsia" w:eastAsiaTheme="majorEastAsia"/>
          <w:kern w:val="0"/>
          <w:sz w:val="24"/>
          <w:szCs w:val="24"/>
        </w:rPr>
      </w:pPr>
      <w:r>
        <w:rPr>
          <w:rFonts w:hint="eastAsia" w:cs="宋体" w:asciiTheme="majorEastAsia" w:hAnsiTheme="majorEastAsia" w:eastAsiaTheme="majorEastAsia"/>
          <w:color w:val="000000"/>
          <w:sz w:val="24"/>
          <w:szCs w:val="24"/>
        </w:rPr>
        <w:t>（5）</w:t>
      </w:r>
      <w:r>
        <w:rPr>
          <w:rFonts w:hint="eastAsia" w:ascii="宋体" w:hAnsi="宋体" w:cs="宋体"/>
          <w:color w:val="000000"/>
          <w:sz w:val="24"/>
          <w:szCs w:val="24"/>
        </w:rPr>
        <w:t>供应商须提供资格文件声明函（原件）。（格式参见第六章）</w:t>
      </w:r>
    </w:p>
    <w:p>
      <w:pPr>
        <w:widowControl/>
        <w:shd w:val="clear" w:color="auto" w:fill="FFFFFF"/>
        <w:spacing w:line="360" w:lineRule="auto"/>
        <w:ind w:firstLine="480" w:firstLineChars="200"/>
        <w:jc w:val="left"/>
        <w:rPr>
          <w:rFonts w:hint="eastAsia"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（6）</w:t>
      </w:r>
      <w:r>
        <w:rPr>
          <w:rFonts w:hint="eastAsia" w:ascii="宋体" w:hAnsi="宋体" w:cs="宋体"/>
          <w:kern w:val="0"/>
          <w:sz w:val="24"/>
          <w:szCs w:val="24"/>
        </w:rPr>
        <w:t>未被“信用中国”网站列入失信被执行人、重大税收违法案件当事人名单、政府采购严重失信行为记录名单。</w:t>
      </w:r>
    </w:p>
    <w:p>
      <w:pPr>
        <w:widowControl/>
        <w:shd w:val="clear" w:color="auto" w:fill="FFFFFF"/>
        <w:spacing w:line="360" w:lineRule="auto"/>
        <w:ind w:firstLine="480" w:firstLineChars="200"/>
        <w:jc w:val="left"/>
        <w:rPr>
          <w:rFonts w:hint="eastAsia"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（7）符合相关法律、法规规定的其他要求。</w:t>
      </w:r>
    </w:p>
    <w:p>
      <w:pPr>
        <w:widowControl/>
        <w:shd w:val="clear" w:color="auto" w:fill="FFFFFF"/>
        <w:spacing w:line="360" w:lineRule="auto"/>
        <w:ind w:firstLine="482" w:firstLineChars="200"/>
        <w:jc w:val="left"/>
        <w:rPr>
          <w:rFonts w:hint="eastAsia" w:cs="宋体" w:asciiTheme="majorEastAsia" w:hAnsiTheme="majorEastAsia" w:eastAsiaTheme="majorEastAsia"/>
          <w:b/>
          <w:sz w:val="24"/>
          <w:szCs w:val="24"/>
        </w:rPr>
      </w:pPr>
      <w:r>
        <w:rPr>
          <w:rFonts w:hint="eastAsia" w:cs="宋体" w:asciiTheme="majorEastAsia" w:hAnsiTheme="majorEastAsia" w:eastAsiaTheme="majorEastAsia"/>
          <w:b/>
          <w:sz w:val="24"/>
          <w:szCs w:val="24"/>
        </w:rPr>
        <w:t>【特别提醒】法定代表人为同一个人的两个及两个以上法人，母公司、全资子公司及其控股公司，都不得在同一采购项目相同标段中同时参加投标，一经发现，将视同围标处理。</w:t>
      </w:r>
    </w:p>
    <w:p>
      <w:pPr>
        <w:widowControl/>
        <w:shd w:val="clear" w:color="auto" w:fill="FFFFFF"/>
        <w:spacing w:line="360" w:lineRule="auto"/>
        <w:ind w:firstLine="475" w:firstLineChars="197"/>
        <w:jc w:val="left"/>
        <w:rPr>
          <w:rFonts w:hint="eastAsia" w:ascii="宋体" w:hAnsi="宋体"/>
          <w:kern w:val="0"/>
          <w:sz w:val="24"/>
          <w:szCs w:val="24"/>
        </w:rPr>
      </w:pPr>
      <w:r>
        <w:rPr>
          <w:rFonts w:hint="eastAsia" w:ascii="宋体" w:hAnsi="宋体" w:cs="宋体"/>
          <w:b/>
          <w:bCs/>
          <w:sz w:val="24"/>
          <w:szCs w:val="24"/>
          <w:u w:val="single"/>
        </w:rPr>
        <w:t>具体资格要求详见第六章中的“资格审查文件”。</w:t>
      </w:r>
    </w:p>
    <w:p>
      <w:pPr>
        <w:widowControl/>
        <w:snapToGrid w:val="0"/>
        <w:spacing w:line="360" w:lineRule="auto"/>
        <w:ind w:firstLine="482" w:firstLineChars="200"/>
        <w:jc w:val="left"/>
        <w:rPr>
          <w:rFonts w:hint="eastAsia" w:asciiTheme="majorEastAsia" w:hAnsiTheme="majorEastAsia" w:eastAsiaTheme="majorEastAsia"/>
          <w:b/>
          <w:bCs/>
          <w:sz w:val="24"/>
          <w:szCs w:val="24"/>
        </w:rPr>
      </w:pPr>
      <w:r>
        <w:rPr>
          <w:rFonts w:hint="eastAsia" w:cs="宋体" w:asciiTheme="majorEastAsia" w:hAnsiTheme="majorEastAsia" w:eastAsiaTheme="majorEastAsia"/>
          <w:b/>
          <w:bCs/>
          <w:sz w:val="24"/>
          <w:szCs w:val="24"/>
        </w:rPr>
        <w:t>请供应商认真对照资格要求，如不符合要求，无意或故意参与磋商的，所产生的一切后果由供应商承担。若响应供应商提供虚假材料的，将作无效响应处理。</w:t>
      </w:r>
    </w:p>
    <w:p>
      <w:pPr>
        <w:widowControl/>
        <w:snapToGrid w:val="0"/>
        <w:spacing w:line="360" w:lineRule="auto"/>
        <w:ind w:firstLine="482" w:firstLineChars="200"/>
        <w:jc w:val="left"/>
        <w:rPr>
          <w:rFonts w:hint="eastAsia" w:asciiTheme="majorEastAsia" w:hAnsiTheme="majorEastAsia" w:eastAsiaTheme="majorEastAsia"/>
          <w:b/>
          <w:bCs/>
          <w:sz w:val="24"/>
          <w:szCs w:val="24"/>
        </w:rPr>
      </w:pPr>
      <w:r>
        <w:rPr>
          <w:rFonts w:hint="eastAsia" w:cs="宋体" w:asciiTheme="majorEastAsia" w:hAnsiTheme="majorEastAsia" w:eastAsiaTheme="majorEastAsia"/>
          <w:b/>
          <w:bCs/>
          <w:sz w:val="24"/>
          <w:szCs w:val="24"/>
        </w:rPr>
        <w:t>非采购人原因成交人放弃成交资格的，报财政部门将其列入政府采购黑名单。</w:t>
      </w:r>
    </w:p>
    <w:p>
      <w:pPr>
        <w:widowControl/>
        <w:snapToGrid w:val="0"/>
        <w:spacing w:line="360" w:lineRule="auto"/>
        <w:ind w:firstLine="482" w:firstLineChars="200"/>
        <w:jc w:val="left"/>
        <w:rPr>
          <w:rFonts w:hint="eastAsia"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特别提醒】单位负责人为同一人或者存在直接控股、管理关系的不同供应商，不得同时参与同一采购项目相同标段的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pPr>
        <w:widowControl/>
        <w:shd w:val="clear" w:color="auto" w:fill="FFFFFF"/>
        <w:spacing w:line="360" w:lineRule="auto"/>
        <w:ind w:firstLine="482" w:firstLineChars="200"/>
        <w:jc w:val="left"/>
        <w:rPr>
          <w:rFonts w:hint="eastAsia" w:ascii="宋体" w:hAnsi="宋体" w:cs="Arial"/>
          <w:kern w:val="0"/>
          <w:sz w:val="24"/>
          <w:szCs w:val="24"/>
        </w:rPr>
      </w:pPr>
      <w:r>
        <w:rPr>
          <w:rFonts w:hint="eastAsia" w:ascii="宋体" w:hAnsi="宋体" w:cs="Arial"/>
          <w:b/>
          <w:bCs/>
          <w:kern w:val="0"/>
          <w:sz w:val="24"/>
          <w:szCs w:val="24"/>
        </w:rPr>
        <w:t>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b/>
          <w:bCs/>
          <w:kern w:val="0"/>
          <w:sz w:val="24"/>
          <w:szCs w:val="24"/>
        </w:rPr>
        <w:t>三、获取采购文件</w:t>
      </w:r>
    </w:p>
    <w:p>
      <w:pPr>
        <w:widowControl/>
        <w:shd w:val="clear" w:color="auto" w:fill="FFFFFF"/>
        <w:spacing w:line="360" w:lineRule="auto"/>
        <w:ind w:firstLine="480" w:firstLineChars="200"/>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时间：2024年7月15日至2024年7月25日</w:t>
      </w:r>
    </w:p>
    <w:p>
      <w:pPr>
        <w:widowControl/>
        <w:shd w:val="clear" w:color="auto" w:fill="FFFFFF"/>
        <w:spacing w:line="360" w:lineRule="auto"/>
        <w:ind w:firstLine="480" w:firstLineChars="200"/>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地点：</w:t>
      </w:r>
      <w:r>
        <w:rPr>
          <w:rFonts w:hint="eastAsia" w:ascii="宋体" w:hAnsi="宋体" w:cs="宋体"/>
          <w:color w:val="333333"/>
          <w:sz w:val="24"/>
          <w:szCs w:val="24"/>
          <w:shd w:val="clear" w:color="auto" w:fill="FFFFFF"/>
        </w:rPr>
        <w:t>南通市文化广电和旅游局-政府采购栏、南通市文化馆-公告公示栏</w:t>
      </w:r>
    </w:p>
    <w:p>
      <w:pPr>
        <w:widowControl/>
        <w:shd w:val="clear" w:color="auto" w:fill="FFFFFF"/>
        <w:spacing w:line="360" w:lineRule="auto"/>
        <w:ind w:firstLine="480" w:firstLineChars="200"/>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方式：自行下载</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b/>
          <w:bCs/>
          <w:kern w:val="0"/>
          <w:sz w:val="24"/>
          <w:szCs w:val="24"/>
        </w:rPr>
        <w:t>四、响应文件的提交</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1.截止时间：</w:t>
      </w:r>
      <w:r>
        <w:rPr>
          <w:rFonts w:hint="eastAsia" w:cs="Arial" w:asciiTheme="majorEastAsia" w:hAnsiTheme="majorEastAsia" w:eastAsiaTheme="majorEastAsia"/>
          <w:b/>
          <w:bCs/>
          <w:kern w:val="0"/>
          <w:sz w:val="24"/>
          <w:szCs w:val="24"/>
        </w:rPr>
        <w:t>2024年7月25日09时00分</w:t>
      </w:r>
      <w:r>
        <w:rPr>
          <w:rFonts w:hint="eastAsia" w:cs="Arial" w:asciiTheme="majorEastAsia" w:hAnsiTheme="majorEastAsia" w:eastAsiaTheme="majorEastAsia"/>
          <w:kern w:val="0"/>
          <w:sz w:val="24"/>
          <w:szCs w:val="24"/>
        </w:rPr>
        <w:t>（北京时间）。</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2.地点：南通市行政中心（南通市崇川区世纪大道6号）综合楼538会议室</w:t>
      </w:r>
      <w:r>
        <w:rPr>
          <w:rFonts w:hint="eastAsia" w:ascii="宋体" w:hAnsi="宋体" w:cs="Arial"/>
          <w:kern w:val="0"/>
          <w:sz w:val="24"/>
          <w:szCs w:val="24"/>
        </w:rPr>
        <w:t>，如有变动另行通知。</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b/>
          <w:bCs/>
          <w:kern w:val="0"/>
          <w:sz w:val="24"/>
          <w:szCs w:val="24"/>
        </w:rPr>
        <w:t>五、开启</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1.时间：</w:t>
      </w:r>
      <w:r>
        <w:rPr>
          <w:rFonts w:hint="eastAsia" w:cs="Arial" w:asciiTheme="majorEastAsia" w:hAnsiTheme="majorEastAsia" w:eastAsiaTheme="majorEastAsia"/>
          <w:b/>
          <w:bCs/>
          <w:kern w:val="0"/>
          <w:sz w:val="24"/>
          <w:szCs w:val="24"/>
        </w:rPr>
        <w:t>2024年7月25日09时00分</w:t>
      </w:r>
      <w:r>
        <w:rPr>
          <w:rFonts w:hint="eastAsia" w:cs="Arial" w:asciiTheme="majorEastAsia" w:hAnsiTheme="majorEastAsia" w:eastAsiaTheme="majorEastAsia"/>
          <w:kern w:val="0"/>
          <w:sz w:val="24"/>
          <w:szCs w:val="24"/>
        </w:rPr>
        <w:t>（北京时间）</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2.地点：南通市行政中心（南通市崇川区世纪大道6号）综合楼538会议室</w:t>
      </w:r>
      <w:r>
        <w:rPr>
          <w:rFonts w:hint="eastAsia" w:ascii="宋体" w:hAnsi="宋体" w:cs="Arial"/>
          <w:kern w:val="0"/>
          <w:sz w:val="24"/>
          <w:szCs w:val="24"/>
        </w:rPr>
        <w:t>，如有变动另行通知。</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b/>
          <w:bCs/>
          <w:kern w:val="0"/>
          <w:sz w:val="24"/>
          <w:szCs w:val="24"/>
        </w:rPr>
        <w:t>六、公告期限</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自本公告发布之日起3个工作日。</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b/>
          <w:bCs/>
          <w:kern w:val="0"/>
          <w:sz w:val="24"/>
          <w:szCs w:val="24"/>
        </w:rPr>
        <w:t>七、其他补充事宜</w:t>
      </w:r>
      <w:r>
        <w:rPr>
          <w:rFonts w:hint="eastAsia" w:cs="Arial" w:asciiTheme="majorEastAsia" w:hAnsiTheme="majorEastAsia" w:eastAsiaTheme="majorEastAsia"/>
          <w:kern w:val="0"/>
          <w:sz w:val="24"/>
          <w:szCs w:val="24"/>
        </w:rPr>
        <w:t>：无</w:t>
      </w:r>
    </w:p>
    <w:p>
      <w:pPr>
        <w:widowControl/>
        <w:shd w:val="clear" w:color="auto" w:fill="FFFFFF"/>
        <w:spacing w:line="360" w:lineRule="auto"/>
        <w:ind w:firstLine="238"/>
        <w:jc w:val="left"/>
        <w:rPr>
          <w:rFonts w:hint="eastAsia" w:cs="Arial" w:asciiTheme="majorEastAsia" w:hAnsiTheme="majorEastAsia" w:eastAsiaTheme="majorEastAsia"/>
          <w:b/>
          <w:bCs/>
          <w:kern w:val="0"/>
          <w:sz w:val="24"/>
          <w:szCs w:val="24"/>
        </w:rPr>
      </w:pPr>
      <w:r>
        <w:rPr>
          <w:rFonts w:hint="eastAsia" w:cs="Arial" w:asciiTheme="majorEastAsia" w:hAnsiTheme="majorEastAsia" w:eastAsiaTheme="majorEastAsia"/>
          <w:b/>
          <w:bCs/>
          <w:kern w:val="0"/>
          <w:sz w:val="24"/>
          <w:szCs w:val="24"/>
        </w:rPr>
        <w:t>八、凡对本次采购提出询问，请按以下方式联系</w:t>
      </w:r>
    </w:p>
    <w:p>
      <w:pPr>
        <w:widowControl/>
        <w:shd w:val="clear" w:color="auto" w:fill="FFFFFF"/>
        <w:spacing w:line="360" w:lineRule="auto"/>
        <w:ind w:firstLine="238"/>
        <w:jc w:val="left"/>
        <w:rPr>
          <w:rFonts w:hint="eastAsia" w:cs="Arial" w:asciiTheme="majorEastAsia" w:hAnsiTheme="majorEastAsia" w:eastAsiaTheme="majorEastAsia"/>
          <w:bCs/>
          <w:kern w:val="0"/>
          <w:sz w:val="24"/>
          <w:szCs w:val="24"/>
        </w:rPr>
      </w:pPr>
      <w:r>
        <w:rPr>
          <w:rFonts w:hint="eastAsia" w:cs="Arial" w:asciiTheme="majorEastAsia" w:hAnsiTheme="majorEastAsia" w:eastAsiaTheme="majorEastAsia"/>
          <w:bCs/>
          <w:kern w:val="0"/>
          <w:sz w:val="24"/>
          <w:szCs w:val="24"/>
        </w:rPr>
        <w:t>1.采购人信息</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bCs/>
          <w:kern w:val="0"/>
          <w:sz w:val="24"/>
          <w:szCs w:val="24"/>
        </w:rPr>
        <w:t>名称：</w:t>
      </w:r>
      <w:r>
        <w:rPr>
          <w:rFonts w:hint="eastAsia" w:cs="Arial" w:asciiTheme="majorEastAsia" w:hAnsiTheme="majorEastAsia" w:eastAsiaTheme="majorEastAsia"/>
          <w:kern w:val="0"/>
          <w:sz w:val="24"/>
          <w:szCs w:val="24"/>
        </w:rPr>
        <w:t>南通市文化馆</w:t>
      </w:r>
    </w:p>
    <w:p>
      <w:pPr>
        <w:widowControl/>
        <w:shd w:val="clear" w:color="auto" w:fill="FFFFFF"/>
        <w:spacing w:line="360" w:lineRule="auto"/>
        <w:ind w:firstLine="238"/>
        <w:jc w:val="left"/>
        <w:rPr>
          <w:rFonts w:hint="eastAsia" w:ascii="宋体" w:hAnsi="宋体" w:cs="Arial" w:eastAsiaTheme="majorEastAsia"/>
          <w:color w:val="0000FF"/>
          <w:kern w:val="0"/>
          <w:sz w:val="24"/>
          <w:szCs w:val="24"/>
        </w:rPr>
      </w:pPr>
      <w:r>
        <w:rPr>
          <w:rFonts w:hint="eastAsia" w:ascii="宋体" w:hAnsi="宋体" w:cs="Arial"/>
          <w:kern w:val="0"/>
          <w:sz w:val="24"/>
          <w:szCs w:val="24"/>
        </w:rPr>
        <w:t>地址：</w:t>
      </w:r>
      <w:r>
        <w:rPr>
          <w:rFonts w:hint="eastAsia" w:cs="Arial" w:asciiTheme="majorEastAsia" w:hAnsiTheme="majorEastAsia" w:eastAsiaTheme="majorEastAsia"/>
          <w:color w:val="000000" w:themeColor="text1"/>
          <w:kern w:val="0"/>
          <w:sz w:val="24"/>
          <w:szCs w:val="24"/>
          <w14:textFill>
            <w14:solidFill>
              <w14:schemeClr w14:val="tx1"/>
            </w14:solidFill>
          </w14:textFill>
        </w:rPr>
        <w:t>南通市崇川区环城南路1号</w:t>
      </w:r>
    </w:p>
    <w:p>
      <w:pPr>
        <w:widowControl/>
        <w:shd w:val="clear" w:color="auto" w:fill="FFFFFF"/>
        <w:spacing w:line="360" w:lineRule="auto"/>
        <w:ind w:firstLine="238"/>
        <w:jc w:val="left"/>
        <w:rPr>
          <w:rFonts w:hint="default" w:ascii="宋体" w:hAnsi="宋体" w:eastAsia="宋体" w:cs="Arial"/>
          <w:kern w:val="0"/>
          <w:sz w:val="24"/>
          <w:szCs w:val="24"/>
          <w:lang w:val="en-US" w:eastAsia="zh-CN"/>
        </w:rPr>
      </w:pPr>
      <w:r>
        <w:rPr>
          <w:rFonts w:hint="eastAsia" w:ascii="宋体" w:hAnsi="宋体" w:cs="Arial"/>
          <w:kern w:val="0"/>
          <w:sz w:val="24"/>
          <w:szCs w:val="24"/>
        </w:rPr>
        <w:t>联系方式：0513-</w:t>
      </w:r>
      <w:r>
        <w:rPr>
          <w:rFonts w:hint="eastAsia" w:ascii="宋体" w:hAnsi="宋体" w:cs="Arial"/>
          <w:kern w:val="0"/>
          <w:sz w:val="24"/>
          <w:szCs w:val="24"/>
          <w:lang w:val="en-US" w:eastAsia="zh-CN"/>
        </w:rPr>
        <w:t>85218696</w:t>
      </w:r>
      <w:bookmarkStart w:id="65" w:name="_GoBack"/>
      <w:bookmarkEnd w:id="65"/>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2.采购人主管部门</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bCs/>
          <w:kern w:val="0"/>
          <w:sz w:val="24"/>
          <w:szCs w:val="24"/>
        </w:rPr>
        <w:t>名称：</w:t>
      </w:r>
      <w:r>
        <w:rPr>
          <w:rFonts w:hint="eastAsia" w:cs="Arial" w:asciiTheme="majorEastAsia" w:hAnsiTheme="majorEastAsia" w:eastAsiaTheme="majorEastAsia"/>
          <w:kern w:val="0"/>
          <w:sz w:val="24"/>
          <w:szCs w:val="24"/>
        </w:rPr>
        <w:t>南通市文化广电和旅游局</w:t>
      </w:r>
    </w:p>
    <w:p>
      <w:pPr>
        <w:widowControl/>
        <w:shd w:val="clear" w:color="auto" w:fill="FFFFFF"/>
        <w:spacing w:line="360" w:lineRule="auto"/>
        <w:ind w:firstLine="238"/>
        <w:jc w:val="left"/>
        <w:rPr>
          <w:rFonts w:hint="eastAsia" w:cs="Arial" w:asciiTheme="minorEastAsia" w:hAnsiTheme="minorEastAsia"/>
          <w:kern w:val="0"/>
          <w:sz w:val="24"/>
          <w:szCs w:val="24"/>
        </w:rPr>
      </w:pPr>
      <w:r>
        <w:rPr>
          <w:rFonts w:hint="eastAsia" w:cs="Arial" w:asciiTheme="majorEastAsia" w:hAnsiTheme="majorEastAsia" w:eastAsiaTheme="majorEastAsia"/>
          <w:kern w:val="0"/>
          <w:sz w:val="24"/>
          <w:szCs w:val="24"/>
        </w:rPr>
        <w:t>地址：</w:t>
      </w:r>
      <w:r>
        <w:rPr>
          <w:rFonts w:hint="eastAsia" w:cs="Arial" w:asciiTheme="minorEastAsia" w:hAnsiTheme="minorEastAsia"/>
          <w:kern w:val="0"/>
          <w:sz w:val="24"/>
          <w:szCs w:val="24"/>
        </w:rPr>
        <w:t>南通市崇川区世纪大道6号</w:t>
      </w:r>
    </w:p>
    <w:p>
      <w:pPr>
        <w:widowControl/>
        <w:shd w:val="clear" w:color="auto" w:fill="FFFFFF"/>
        <w:spacing w:line="360" w:lineRule="auto"/>
        <w:ind w:firstLine="238"/>
        <w:jc w:val="left"/>
        <w:rPr>
          <w:rFonts w:hint="eastAsia" w:cs="Arial" w:asciiTheme="majorEastAsia" w:hAnsiTheme="majorEastAsia"/>
          <w:kern w:val="0"/>
          <w:sz w:val="24"/>
          <w:szCs w:val="24"/>
        </w:rPr>
      </w:pPr>
      <w:r>
        <w:rPr>
          <w:rFonts w:hint="eastAsia" w:cs="Arial" w:asciiTheme="majorEastAsia" w:hAnsiTheme="majorEastAsia" w:eastAsiaTheme="majorEastAsia"/>
          <w:kern w:val="0"/>
          <w:sz w:val="24"/>
          <w:szCs w:val="24"/>
        </w:rPr>
        <w:t>联系方式：</w:t>
      </w:r>
      <w:r>
        <w:rPr>
          <w:rFonts w:cs="宋体" w:asciiTheme="minorEastAsia" w:hAnsiTheme="minorEastAsia"/>
          <w:sz w:val="24"/>
          <w:szCs w:val="24"/>
        </w:rPr>
        <w:t>0513-</w:t>
      </w:r>
      <w:r>
        <w:rPr>
          <w:rFonts w:ascii="宋体" w:hAnsi="宋体" w:cs="宋体"/>
          <w:sz w:val="24"/>
          <w:szCs w:val="24"/>
        </w:rPr>
        <w:t>85099576</w:t>
      </w:r>
    </w:p>
    <w:p>
      <w:pPr>
        <w:widowControl/>
        <w:shd w:val="clear" w:color="auto" w:fill="FFFFFF"/>
        <w:spacing w:line="360" w:lineRule="auto"/>
        <w:ind w:firstLine="240" w:firstLineChars="100"/>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3.采购代理机构信息</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名称：南通通城建设工程项目管理有限公司</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地址：南通市崇川区工农南路156号鑫乾广场A座22楼2202室</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联系方式：18906296209</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4.项目联系方式：</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联系人：杨伟</w:t>
      </w:r>
    </w:p>
    <w:p>
      <w:pPr>
        <w:widowControl/>
        <w:shd w:val="clear" w:color="auto" w:fill="FFFFFF"/>
        <w:spacing w:line="360" w:lineRule="auto"/>
        <w:ind w:firstLine="238"/>
        <w:jc w:val="left"/>
        <w:rPr>
          <w:rFonts w:hint="eastAsia" w:cs="Arial" w:asciiTheme="majorEastAsia" w:hAnsiTheme="majorEastAsia" w:eastAsiaTheme="majorEastAsia"/>
          <w:kern w:val="0"/>
          <w:sz w:val="24"/>
          <w:szCs w:val="24"/>
        </w:rPr>
      </w:pPr>
      <w:r>
        <w:rPr>
          <w:rFonts w:hint="eastAsia" w:cs="Arial" w:asciiTheme="majorEastAsia" w:hAnsiTheme="majorEastAsia" w:eastAsiaTheme="majorEastAsia"/>
          <w:kern w:val="0"/>
          <w:sz w:val="24"/>
          <w:szCs w:val="24"/>
        </w:rPr>
        <w:t>电话：18906296209</w:t>
      </w:r>
    </w:p>
    <w:p>
      <w:pPr>
        <w:pStyle w:val="2"/>
        <w:keepNext w:val="0"/>
        <w:keepLines w:val="0"/>
        <w:snapToGrid w:val="0"/>
        <w:spacing w:before="0" w:after="0" w:line="360" w:lineRule="auto"/>
        <w:jc w:val="center"/>
        <w:rPr>
          <w:rFonts w:hint="eastAsia" w:ascii="宋体" w:hAnsi="宋体" w:cs="宋体"/>
          <w:color w:val="000000"/>
          <w:w w:val="80"/>
          <w:szCs w:val="44"/>
        </w:rPr>
      </w:pPr>
    </w:p>
    <w:p/>
    <w:p/>
    <w:p>
      <w:pPr>
        <w:pStyle w:val="2"/>
        <w:keepNext w:val="0"/>
        <w:keepLines w:val="0"/>
        <w:snapToGrid w:val="0"/>
        <w:spacing w:before="0" w:after="0" w:line="360" w:lineRule="auto"/>
        <w:jc w:val="center"/>
        <w:rPr>
          <w:rFonts w:ascii="宋体" w:cs="宋体"/>
          <w:color w:val="000000"/>
          <w:w w:val="80"/>
          <w:szCs w:val="44"/>
        </w:rPr>
      </w:pPr>
      <w:r>
        <w:rPr>
          <w:rFonts w:hint="eastAsia" w:ascii="宋体" w:hAnsi="宋体" w:cs="宋体"/>
          <w:color w:val="000000"/>
          <w:w w:val="80"/>
          <w:szCs w:val="44"/>
        </w:rPr>
        <w:t>第二章</w:t>
      </w:r>
      <w:r>
        <w:rPr>
          <w:rFonts w:ascii="宋体" w:hAnsi="宋体" w:cs="宋体"/>
          <w:color w:val="000000"/>
          <w:w w:val="80"/>
          <w:szCs w:val="44"/>
        </w:rPr>
        <w:t xml:space="preserve">  </w:t>
      </w:r>
      <w:bookmarkEnd w:id="11"/>
      <w:bookmarkEnd w:id="12"/>
      <w:bookmarkEnd w:id="13"/>
      <w:bookmarkEnd w:id="14"/>
      <w:bookmarkEnd w:id="15"/>
      <w:bookmarkEnd w:id="16"/>
      <w:bookmarkEnd w:id="17"/>
      <w:bookmarkEnd w:id="18"/>
      <w:bookmarkEnd w:id="19"/>
      <w:bookmarkEnd w:id="20"/>
      <w:r>
        <w:rPr>
          <w:rFonts w:hint="eastAsia" w:ascii="宋体" w:hAnsi="宋体" w:cs="宋体"/>
          <w:color w:val="000000"/>
          <w:w w:val="80"/>
          <w:szCs w:val="44"/>
        </w:rPr>
        <w:t>磋商供应商须知</w:t>
      </w:r>
      <w:bookmarkEnd w:id="21"/>
    </w:p>
    <w:p>
      <w:pPr>
        <w:snapToGrid w:val="0"/>
        <w:spacing w:line="480" w:lineRule="exact"/>
        <w:ind w:firstLine="482" w:firstLineChars="200"/>
        <w:outlineLvl w:val="1"/>
        <w:rPr>
          <w:rFonts w:ascii="宋体" w:cs="宋体"/>
          <w:b/>
          <w:bCs/>
          <w:color w:val="000000"/>
          <w:sz w:val="24"/>
          <w:szCs w:val="24"/>
        </w:rPr>
      </w:pPr>
      <w:bookmarkStart w:id="22" w:name="_Toc94544745"/>
      <w:bookmarkStart w:id="23" w:name="_Toc12670504"/>
      <w:bookmarkStart w:id="24" w:name="_Toc11499585"/>
      <w:bookmarkStart w:id="25" w:name="_Toc11500281"/>
      <w:bookmarkStart w:id="26" w:name="_Toc521203419"/>
      <w:bookmarkStart w:id="27" w:name="_Toc8895740"/>
      <w:bookmarkStart w:id="28" w:name="_Toc521201598"/>
      <w:bookmarkStart w:id="29" w:name="_Toc11554640"/>
      <w:bookmarkStart w:id="30" w:name="_Toc94544871"/>
      <w:bookmarkStart w:id="31" w:name="_Toc94585341"/>
      <w:r>
        <w:rPr>
          <w:rFonts w:hint="eastAsia" w:ascii="宋体" w:hAnsi="宋体" w:cs="宋体"/>
          <w:b/>
          <w:bCs/>
          <w:color w:val="000000"/>
          <w:sz w:val="24"/>
          <w:szCs w:val="24"/>
        </w:rPr>
        <w:t>一、说明</w:t>
      </w:r>
    </w:p>
    <w:p>
      <w:pPr>
        <w:snapToGrid w:val="0"/>
        <w:spacing w:line="480" w:lineRule="exact"/>
        <w:ind w:firstLine="480" w:firstLineChars="200"/>
        <w:rPr>
          <w:rFonts w:ascii="宋体" w:cs="宋体"/>
          <w:bCs/>
          <w:color w:val="000000"/>
          <w:sz w:val="24"/>
          <w:szCs w:val="24"/>
        </w:rPr>
      </w:pPr>
      <w:r>
        <w:rPr>
          <w:rFonts w:ascii="宋体" w:hAnsi="宋体" w:cs="宋体"/>
          <w:bCs/>
          <w:color w:val="000000"/>
          <w:sz w:val="24"/>
          <w:szCs w:val="24"/>
        </w:rPr>
        <w:t>1</w:t>
      </w:r>
      <w:r>
        <w:rPr>
          <w:rFonts w:hint="eastAsia" w:ascii="宋体" w:hAnsi="宋体" w:cs="宋体"/>
          <w:bCs/>
          <w:color w:val="000000"/>
          <w:sz w:val="24"/>
          <w:szCs w:val="24"/>
        </w:rPr>
        <w:t>、 本竞争性磋商文件仅适用于南通通城建设工程项目管理有限公司组织的竞争性磋商采购活动。</w:t>
      </w:r>
    </w:p>
    <w:p>
      <w:pPr>
        <w:snapToGrid w:val="0"/>
        <w:spacing w:line="480" w:lineRule="exact"/>
        <w:ind w:firstLine="480" w:firstLineChars="200"/>
        <w:rPr>
          <w:rFonts w:ascii="宋体" w:cs="宋体"/>
          <w:bCs/>
          <w:color w:val="000000"/>
          <w:sz w:val="24"/>
          <w:szCs w:val="24"/>
        </w:rPr>
      </w:pPr>
      <w:r>
        <w:rPr>
          <w:rFonts w:ascii="宋体" w:hAnsi="宋体" w:cs="宋体"/>
          <w:bCs/>
          <w:color w:val="000000"/>
          <w:sz w:val="24"/>
          <w:szCs w:val="24"/>
        </w:rPr>
        <w:t>2</w:t>
      </w:r>
      <w:r>
        <w:rPr>
          <w:rFonts w:hint="eastAsia" w:ascii="宋体" w:hAnsi="宋体" w:cs="宋体"/>
          <w:bCs/>
          <w:color w:val="000000"/>
          <w:sz w:val="24"/>
          <w:szCs w:val="24"/>
        </w:rPr>
        <w:t>、竞争性磋商活动及因本次磋商产生的合同受中国法律制约和保护。</w:t>
      </w:r>
    </w:p>
    <w:p>
      <w:pPr>
        <w:snapToGrid w:val="0"/>
        <w:spacing w:line="480" w:lineRule="exact"/>
        <w:ind w:firstLine="480" w:firstLineChars="200"/>
        <w:rPr>
          <w:rFonts w:ascii="宋体" w:cs="宋体"/>
          <w:bCs/>
          <w:color w:val="000000"/>
          <w:sz w:val="24"/>
          <w:szCs w:val="24"/>
        </w:rPr>
      </w:pPr>
      <w:r>
        <w:rPr>
          <w:rFonts w:ascii="宋体" w:hAnsi="宋体" w:cs="宋体"/>
          <w:bCs/>
          <w:color w:val="000000"/>
          <w:sz w:val="24"/>
          <w:szCs w:val="24"/>
        </w:rPr>
        <w:t>3</w:t>
      </w:r>
      <w:r>
        <w:rPr>
          <w:rFonts w:hint="eastAsia" w:ascii="宋体" w:hAnsi="宋体" w:cs="宋体"/>
          <w:bCs/>
          <w:color w:val="000000"/>
          <w:sz w:val="24"/>
          <w:szCs w:val="24"/>
        </w:rPr>
        <w:t>、竞争性磋商文件的解释权属于南通通城建设工程项目管理有限公司。</w:t>
      </w:r>
    </w:p>
    <w:p>
      <w:pPr>
        <w:snapToGrid w:val="0"/>
        <w:spacing w:line="480" w:lineRule="exact"/>
        <w:ind w:firstLine="480" w:firstLineChars="200"/>
        <w:rPr>
          <w:rFonts w:ascii="宋体" w:cs="宋体"/>
          <w:color w:val="FF00FF"/>
          <w:sz w:val="24"/>
          <w:szCs w:val="24"/>
        </w:rPr>
      </w:pPr>
      <w:r>
        <w:rPr>
          <w:rFonts w:ascii="宋体" w:hAnsi="宋体" w:cs="宋体"/>
          <w:color w:val="000000"/>
          <w:sz w:val="24"/>
          <w:szCs w:val="24"/>
        </w:rPr>
        <w:t>4</w:t>
      </w:r>
      <w:r>
        <w:rPr>
          <w:rFonts w:hint="eastAsia" w:ascii="宋体" w:hAnsi="宋体" w:cs="宋体"/>
          <w:color w:val="000000"/>
          <w:sz w:val="24"/>
          <w:szCs w:val="24"/>
        </w:rPr>
        <w:t>、供应商</w:t>
      </w:r>
      <w:r>
        <w:rPr>
          <w:rFonts w:hint="eastAsia" w:ascii="宋体" w:hAnsi="宋体" w:cs="宋体"/>
          <w:sz w:val="24"/>
          <w:szCs w:val="24"/>
        </w:rPr>
        <w:t>下载</w:t>
      </w:r>
      <w:r>
        <w:rPr>
          <w:rFonts w:hint="eastAsia" w:ascii="宋体" w:hAnsi="宋体" w:cs="宋体"/>
          <w:color w:val="000000"/>
          <w:sz w:val="24"/>
          <w:szCs w:val="24"/>
        </w:rPr>
        <w:t>磋商文件后，应仔细检查磋商文件的所有内容。如内容中有页码短缺、资格要求以及任何设置有不合理的条件对供应商实行差别待遇或者歧视待遇的，应在磋商文件发布</w:t>
      </w:r>
      <w:r>
        <w:rPr>
          <w:rFonts w:hint="eastAsia" w:ascii="宋体" w:hAnsi="宋体" w:cs="宋体"/>
          <w:sz w:val="24"/>
          <w:szCs w:val="24"/>
        </w:rPr>
        <w:t>后的</w:t>
      </w:r>
      <w:r>
        <w:rPr>
          <w:rFonts w:ascii="宋体" w:hAnsi="宋体" w:cs="宋体"/>
          <w:sz w:val="24"/>
          <w:szCs w:val="24"/>
        </w:rPr>
        <w:t>3</w:t>
      </w:r>
      <w:r>
        <w:rPr>
          <w:rFonts w:hint="eastAsia" w:ascii="宋体" w:hAnsi="宋体" w:cs="宋体"/>
          <w:sz w:val="24"/>
          <w:szCs w:val="24"/>
        </w:rPr>
        <w:t>日内，</w:t>
      </w:r>
      <w:r>
        <w:rPr>
          <w:rFonts w:hint="eastAsia" w:ascii="宋体" w:hAnsi="宋体" w:cs="宋体"/>
          <w:color w:val="000000"/>
          <w:sz w:val="24"/>
          <w:szCs w:val="24"/>
        </w:rPr>
        <w:t>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color w:val="000000"/>
          <w:sz w:val="24"/>
          <w:szCs w:val="24"/>
        </w:rPr>
        <w:t>非书面形式的不作为日后质疑提出的依据。</w:t>
      </w:r>
    </w:p>
    <w:p>
      <w:pPr>
        <w:snapToGrid w:val="0"/>
        <w:spacing w:line="48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2" w:firstLineChars="200"/>
        <w:outlineLvl w:val="1"/>
        <w:rPr>
          <w:rFonts w:hint="eastAsia" w:ascii="宋体" w:hAnsi="宋体" w:cs="宋体"/>
          <w:b/>
          <w:bCs/>
          <w:color w:val="000000"/>
          <w:sz w:val="24"/>
          <w:szCs w:val="24"/>
        </w:rPr>
      </w:pPr>
      <w:r>
        <w:rPr>
          <w:rFonts w:hint="eastAsia" w:ascii="宋体" w:hAnsi="宋体" w:cs="宋体"/>
          <w:b/>
          <w:bCs/>
          <w:color w:val="000000"/>
          <w:sz w:val="24"/>
          <w:szCs w:val="24"/>
        </w:rPr>
        <w:t>二、项目涉及到的现场勘察</w:t>
      </w:r>
    </w:p>
    <w:p>
      <w:pPr>
        <w:snapToGrid w:val="0"/>
        <w:spacing w:line="48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采购文件所提供的项目相关数据仅做参考，根据自身需要，供应商可在响应文件递交日前自行实地察看有关现场和对周围环境进行勘察，以获取编制磋商响应文件所需的信息。勘察现场如有费用产生，由供应商自行承担。</w:t>
      </w:r>
    </w:p>
    <w:p>
      <w:pPr>
        <w:snapToGrid w:val="0"/>
        <w:spacing w:line="48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、采购人向供应商提供有关现场的资料和数据，是采购人现有的并认为能使供应商可利用的资料。采购人对供应商由此而做出的推论、理解和结论概不负责。</w:t>
      </w:r>
    </w:p>
    <w:p>
      <w:pPr>
        <w:snapToGrid w:val="0"/>
        <w:spacing w:line="480" w:lineRule="exact"/>
        <w:ind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、潜在供应商为响应本项目而勘察项目现场，但不得因此使采购人承担有关的责任和蒙受损失。供应商须承担勘察现场而带来的一切责任及风险。</w:t>
      </w:r>
    </w:p>
    <w:p>
      <w:pPr>
        <w:snapToGrid w:val="0"/>
        <w:spacing w:line="480" w:lineRule="exact"/>
        <w:ind w:firstLine="480" w:firstLineChars="200"/>
        <w:rPr>
          <w:rFonts w:hint="eastAsia"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供应商应在现场勘察时，熟悉现场及周围交通道路等情况，以获得一切可能影响投标响应内容的直接资料。供应商成交后，不得以不完全了解现场情况为理由而向采购人提出任何索赔的要求，对此采购人不承担任何责任，且不作任何答复。</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三、磋商文件的澄清、修改、答疑</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48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w:t>
      </w:r>
      <w:r>
        <w:rPr>
          <w:rFonts w:hint="eastAsia" w:ascii="宋体" w:hAnsi="宋体"/>
          <w:sz w:val="24"/>
          <w:szCs w:val="24"/>
        </w:rPr>
        <w:t>南通市文化广电和旅游局-政府采购栏、南通市文化馆-公告公示栏</w:t>
      </w:r>
      <w:r>
        <w:rPr>
          <w:rFonts w:hint="eastAsia" w:ascii="宋体" w:hAnsi="宋体" w:cs="宋体"/>
          <w:sz w:val="24"/>
          <w:szCs w:val="24"/>
        </w:rPr>
        <w:t>发布的信息为准。</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ascii="宋体" w:cs="宋体"/>
          <w:color w:val="000000"/>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四、响应文件的编制及装订</w:t>
      </w:r>
    </w:p>
    <w:p>
      <w:pPr>
        <w:spacing w:line="480" w:lineRule="exact"/>
        <w:ind w:firstLine="484" w:firstLineChars="202"/>
        <w:rPr>
          <w:rFonts w:ascii="宋体" w:cs="宋体"/>
          <w:color w:val="000000"/>
          <w:sz w:val="24"/>
          <w:szCs w:val="24"/>
        </w:rPr>
      </w:pPr>
      <w:r>
        <w:rPr>
          <w:rFonts w:hint="eastAsia" w:ascii="宋体" w:hAnsi="宋体" w:cs="宋体"/>
          <w:color w:val="000000"/>
          <w:sz w:val="24"/>
          <w:szCs w:val="24"/>
        </w:rPr>
        <w:t>供应</w:t>
      </w:r>
      <w:r>
        <w:rPr>
          <w:rFonts w:hint="eastAsia" w:ascii="宋体" w:hAnsi="宋体" w:cs="宋体"/>
          <w:sz w:val="24"/>
          <w:szCs w:val="24"/>
        </w:rPr>
        <w:t>商按磋商文件要求编写响应文件，并牢固装订成册。响应文件均需采用</w:t>
      </w:r>
      <w:r>
        <w:rPr>
          <w:rFonts w:ascii="宋体" w:hAnsi="宋体" w:cs="宋体"/>
          <w:sz w:val="24"/>
          <w:szCs w:val="24"/>
        </w:rPr>
        <w:t>A4</w:t>
      </w:r>
      <w:r>
        <w:rPr>
          <w:rFonts w:hint="eastAsia" w:ascii="宋体" w:hAnsi="宋体" w:cs="宋体"/>
          <w:sz w:val="24"/>
          <w:szCs w:val="24"/>
        </w:rPr>
        <w:t>纸（图纸等除外），响应文件不得行间插字、涂改、增删，如修改错漏处，须经响应文件签署人签字并加</w:t>
      </w:r>
      <w:r>
        <w:rPr>
          <w:rFonts w:hint="eastAsia" w:ascii="宋体" w:hAnsi="宋体" w:cs="宋体"/>
          <w:color w:val="000000"/>
          <w:sz w:val="24"/>
          <w:szCs w:val="24"/>
        </w:rPr>
        <w:t>盖公章。</w:t>
      </w:r>
    </w:p>
    <w:p>
      <w:pPr>
        <w:snapToGrid w:val="0"/>
        <w:spacing w:line="480" w:lineRule="exact"/>
        <w:ind w:firstLine="482" w:firstLineChars="200"/>
        <w:outlineLvl w:val="1"/>
        <w:rPr>
          <w:rFonts w:ascii="宋体" w:cs="宋体"/>
          <w:b/>
          <w:bCs/>
          <w:color w:val="000000"/>
          <w:sz w:val="24"/>
          <w:szCs w:val="24"/>
        </w:rPr>
      </w:pPr>
      <w:r>
        <w:rPr>
          <w:rFonts w:hint="eastAsia" w:ascii="宋体" w:hAnsi="宋体" w:cs="宋体"/>
          <w:b/>
          <w:bCs/>
          <w:color w:val="000000"/>
          <w:sz w:val="24"/>
          <w:szCs w:val="24"/>
        </w:rPr>
        <w:t>五、响应文件的份数和签署</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480" w:lineRule="exact"/>
        <w:ind w:firstLine="480" w:firstLineChars="200"/>
        <w:rPr>
          <w:rFonts w:ascii="宋体" w:cs="宋体"/>
          <w:b/>
          <w:sz w:val="24"/>
          <w:szCs w:val="24"/>
          <w:u w:val="single"/>
        </w:rPr>
      </w:pPr>
      <w:r>
        <w:rPr>
          <w:rFonts w:ascii="宋体" w:hAnsi="宋体" w:cs="宋体"/>
          <w:sz w:val="24"/>
          <w:szCs w:val="24"/>
        </w:rPr>
        <w:t>2</w:t>
      </w:r>
      <w:r>
        <w:rPr>
          <w:rFonts w:hint="eastAsia" w:ascii="宋体" w:hAnsi="宋体" w:cs="宋体"/>
          <w:sz w:val="24"/>
          <w:szCs w:val="24"/>
        </w:rPr>
        <w:t>、响应文件均为</w:t>
      </w:r>
      <w:r>
        <w:rPr>
          <w:rFonts w:hint="eastAsia" w:ascii="宋体" w:hAnsi="宋体" w:cs="宋体"/>
          <w:b/>
          <w:sz w:val="24"/>
          <w:szCs w:val="24"/>
        </w:rPr>
        <w:t>一式叁份，其中“正本”壹份和“副本”贰份。</w:t>
      </w:r>
    </w:p>
    <w:p>
      <w:pPr>
        <w:snapToGrid w:val="0"/>
        <w:spacing w:line="480" w:lineRule="exact"/>
        <w:ind w:firstLine="470" w:firstLineChars="196"/>
        <w:rPr>
          <w:rFonts w:ascii="宋体" w:cs="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pPr>
        <w:snapToGrid w:val="0"/>
        <w:spacing w:line="480" w:lineRule="exact"/>
        <w:ind w:firstLine="470" w:firstLineChars="196"/>
        <w:rPr>
          <w:rFonts w:ascii="宋体" w:cs="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480" w:lineRule="exact"/>
        <w:ind w:firstLine="470" w:firstLineChars="196"/>
        <w:rPr>
          <w:rFonts w:ascii="宋体" w:cs="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480" w:lineRule="exact"/>
        <w:ind w:firstLine="472" w:firstLineChars="196"/>
        <w:rPr>
          <w:rFonts w:ascii="宋体" w:cs="宋体"/>
          <w:b/>
          <w:bCs/>
          <w:sz w:val="24"/>
          <w:szCs w:val="24"/>
        </w:rPr>
      </w:pPr>
      <w:r>
        <w:rPr>
          <w:rFonts w:hint="eastAsia" w:ascii="宋体" w:hAnsi="宋体" w:cs="宋体"/>
          <w:b/>
          <w:bCs/>
          <w:sz w:val="24"/>
          <w:szCs w:val="24"/>
        </w:rPr>
        <w:t>六、响应文件的密封及标记</w:t>
      </w:r>
    </w:p>
    <w:p>
      <w:pPr>
        <w:snapToGrid w:val="0"/>
        <w:spacing w:line="480" w:lineRule="exact"/>
        <w:ind w:firstLine="480" w:firstLineChars="200"/>
        <w:rPr>
          <w:rFonts w:ascii="宋体" w:cs="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、③</w:t>
      </w:r>
      <w:r>
        <w:rPr>
          <w:rFonts w:hint="eastAsia" w:ascii="宋体" w:hAnsi="宋体" w:cs="宋体"/>
          <w:b/>
          <w:sz w:val="24"/>
          <w:szCs w:val="24"/>
        </w:rPr>
        <w:t>单独密封</w:t>
      </w:r>
      <w:r>
        <w:rPr>
          <w:rFonts w:hint="eastAsia" w:ascii="宋体" w:hAnsi="宋体" w:cs="宋体"/>
          <w:sz w:val="24"/>
          <w:szCs w:val="24"/>
        </w:rPr>
        <w:t>。</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480" w:lineRule="exact"/>
        <w:ind w:firstLine="482" w:firstLineChars="200"/>
        <w:rPr>
          <w:rFonts w:ascii="宋体" w:cs="宋体"/>
          <w:sz w:val="24"/>
          <w:szCs w:val="24"/>
        </w:rPr>
      </w:pPr>
      <w:r>
        <w:rPr>
          <w:rFonts w:hint="eastAsia" w:ascii="宋体" w:hAnsi="宋体" w:cs="宋体"/>
          <w:b/>
          <w:sz w:val="24"/>
          <w:szCs w:val="24"/>
        </w:rPr>
        <w:t>【特别提醒】</w:t>
      </w:r>
      <w:r>
        <w:rPr>
          <w:rFonts w:hint="eastAsia" w:ascii="宋体" w:hAnsi="宋体" w:cs="宋体"/>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的“正本”或“副本”中，均不得含有商务报价响应文件中报价表（报价单）内的任何项目价格，否则作无效投标处理。</w:t>
      </w:r>
    </w:p>
    <w:p>
      <w:pPr>
        <w:snapToGrid w:val="0"/>
        <w:spacing w:line="480" w:lineRule="exact"/>
        <w:ind w:firstLine="496" w:firstLineChars="206"/>
        <w:outlineLvl w:val="1"/>
        <w:rPr>
          <w:rFonts w:ascii="宋体" w:cs="宋体"/>
          <w:b/>
          <w:bCs/>
          <w:color w:val="000000"/>
          <w:sz w:val="24"/>
          <w:szCs w:val="24"/>
        </w:rPr>
      </w:pPr>
      <w:r>
        <w:rPr>
          <w:rFonts w:hint="eastAsia" w:ascii="宋体" w:hAnsi="宋体" w:cs="宋体"/>
          <w:b/>
          <w:bCs/>
          <w:color w:val="000000"/>
          <w:sz w:val="24"/>
          <w:szCs w:val="24"/>
        </w:rPr>
        <w:t>七、投标报价</w:t>
      </w:r>
    </w:p>
    <w:p>
      <w:pPr>
        <w:snapToGrid w:val="0"/>
        <w:spacing w:line="480" w:lineRule="exact"/>
        <w:ind w:firstLine="494" w:firstLineChars="206"/>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、本项目不接受任何有选择的报价。</w:t>
      </w:r>
    </w:p>
    <w:p>
      <w:pPr>
        <w:snapToGrid w:val="0"/>
        <w:spacing w:line="480" w:lineRule="exact"/>
        <w:ind w:firstLine="494" w:firstLineChars="206"/>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sz w:val="24"/>
          <w:szCs w:val="24"/>
        </w:rPr>
        <w:t>磋商报价</w:t>
      </w:r>
      <w:r>
        <w:rPr>
          <w:rFonts w:hint="eastAsia" w:ascii="宋体" w:hAnsi="宋体" w:cs="宋体"/>
          <w:color w:val="000000"/>
          <w:sz w:val="24"/>
          <w:szCs w:val="24"/>
        </w:rPr>
        <w:t>均以人民币为报价的币种。</w:t>
      </w:r>
    </w:p>
    <w:p>
      <w:pPr>
        <w:snapToGrid w:val="0"/>
        <w:spacing w:line="420" w:lineRule="exact"/>
        <w:ind w:firstLine="494" w:firstLineChars="206"/>
        <w:rPr>
          <w:rFonts w:hint="eastAsia" w:ascii="宋体" w:hAnsi="宋体" w:cs="仿宋_GB2312"/>
          <w:sz w:val="24"/>
          <w:szCs w:val="24"/>
        </w:rPr>
      </w:pPr>
      <w:r>
        <w:rPr>
          <w:rFonts w:ascii="宋体" w:hAnsi="宋体" w:cs="宋体"/>
          <w:color w:val="000000"/>
          <w:sz w:val="24"/>
          <w:szCs w:val="24"/>
        </w:rPr>
        <w:t>3</w:t>
      </w:r>
      <w:r>
        <w:rPr>
          <w:rFonts w:hint="eastAsia" w:ascii="宋体" w:hAnsi="宋体" w:cs="宋体"/>
          <w:color w:val="000000"/>
          <w:sz w:val="24"/>
          <w:szCs w:val="24"/>
        </w:rPr>
        <w:t>、</w:t>
      </w:r>
      <w:r>
        <w:rPr>
          <w:rFonts w:hint="eastAsia" w:ascii="宋体" w:hAnsi="宋体" w:cs="宋体"/>
          <w:sz w:val="24"/>
          <w:szCs w:val="24"/>
        </w:rPr>
        <w:t>磋商报价表必须加盖单位公章且必须经法定代表人或被授权人签字或盖章。</w:t>
      </w:r>
      <w:r>
        <w:rPr>
          <w:rFonts w:hint="eastAsia" w:ascii="宋体" w:hAnsi="宋体"/>
          <w:sz w:val="24"/>
        </w:rPr>
        <w:t>报价出现前后不一致的，按照下列规定修正：</w:t>
      </w:r>
    </w:p>
    <w:p>
      <w:pPr>
        <w:snapToGrid w:val="0"/>
        <w:spacing w:line="420" w:lineRule="exact"/>
        <w:ind w:firstLine="494" w:firstLineChars="206"/>
        <w:rPr>
          <w:rFonts w:hint="eastAsia" w:ascii="宋体" w:hAnsi="宋体" w:cs="仿宋_GB2312"/>
          <w:sz w:val="24"/>
          <w:szCs w:val="24"/>
        </w:rPr>
      </w:pPr>
      <w:r>
        <w:rPr>
          <w:rFonts w:hint="eastAsia" w:ascii="宋体" w:hAnsi="宋体"/>
          <w:sz w:val="24"/>
        </w:rPr>
        <w:t>（1）</w:t>
      </w:r>
      <w:r>
        <w:rPr>
          <w:rFonts w:hint="eastAsia" w:ascii="宋体" w:hAnsi="宋体" w:cs="仿宋_GB2312"/>
          <w:sz w:val="24"/>
          <w:szCs w:val="24"/>
        </w:rPr>
        <w:t>磋商响应文件中报价总表内容与磋商文件中内容明细不一致的，以报价总表为准；</w:t>
      </w:r>
    </w:p>
    <w:p>
      <w:pPr>
        <w:snapToGrid w:val="0"/>
        <w:spacing w:line="420" w:lineRule="exact"/>
        <w:ind w:firstLine="494" w:firstLineChars="206"/>
        <w:rPr>
          <w:rFonts w:hint="eastAsia" w:ascii="宋体" w:hAnsi="宋体" w:cs="仿宋_GB2312"/>
          <w:sz w:val="24"/>
          <w:szCs w:val="24"/>
        </w:rPr>
      </w:pPr>
      <w:r>
        <w:rPr>
          <w:rFonts w:hint="eastAsia" w:ascii="宋体" w:hAnsi="宋体" w:cs="仿宋_GB2312"/>
          <w:sz w:val="24"/>
          <w:szCs w:val="24"/>
        </w:rPr>
        <w:t>（2）磋商响应文件中涉及大写金额和小写金额不一致的，以大写金额为准；</w:t>
      </w:r>
    </w:p>
    <w:p>
      <w:pPr>
        <w:snapToGrid w:val="0"/>
        <w:spacing w:line="420" w:lineRule="exact"/>
        <w:ind w:firstLine="494" w:firstLineChars="206"/>
        <w:rPr>
          <w:rFonts w:hint="eastAsia" w:ascii="宋体" w:hAnsi="宋体" w:cs="仿宋_GB2312"/>
          <w:sz w:val="24"/>
          <w:szCs w:val="24"/>
        </w:rPr>
      </w:pPr>
      <w:r>
        <w:rPr>
          <w:rFonts w:hint="eastAsia" w:ascii="宋体" w:hAnsi="宋体" w:cs="仿宋_GB2312"/>
          <w:sz w:val="24"/>
          <w:szCs w:val="24"/>
        </w:rPr>
        <w:t>（3）总价金额与按单价汇总金额不一致的，以单价金额计算结果为准；</w:t>
      </w:r>
    </w:p>
    <w:p>
      <w:pPr>
        <w:snapToGrid w:val="0"/>
        <w:spacing w:line="420" w:lineRule="exact"/>
        <w:ind w:firstLine="494" w:firstLineChars="206"/>
        <w:rPr>
          <w:rFonts w:hint="eastAsia" w:ascii="宋体" w:hAnsi="宋体" w:cs="仿宋_GB2312"/>
          <w:sz w:val="24"/>
          <w:szCs w:val="24"/>
        </w:rPr>
      </w:pPr>
      <w:r>
        <w:rPr>
          <w:rFonts w:hint="eastAsia" w:ascii="宋体" w:hAnsi="宋体" w:cs="仿宋_GB2312"/>
          <w:sz w:val="24"/>
          <w:szCs w:val="24"/>
        </w:rPr>
        <w:t>（4）单价金额小数点有明显错位的，应以总价为准，并修改单价。</w:t>
      </w:r>
    </w:p>
    <w:p>
      <w:pPr>
        <w:snapToGrid w:val="0"/>
        <w:spacing w:line="520" w:lineRule="exact"/>
        <w:ind w:firstLine="494" w:firstLineChars="206"/>
        <w:rPr>
          <w:rFonts w:ascii="宋体" w:cs="宋体"/>
          <w:color w:val="000000"/>
          <w:sz w:val="24"/>
          <w:szCs w:val="24"/>
        </w:rPr>
      </w:pPr>
      <w:r>
        <w:rPr>
          <w:rFonts w:hint="eastAsia" w:ascii="宋体" w:hAnsi="宋体"/>
          <w:sz w:val="24"/>
          <w:szCs w:val="24"/>
        </w:rPr>
        <w:t>同时出现两种以上不一致的，按照前款规定的顺序修正。修正后的报价应当由供应商的法定代表人或其被授权人签字确认后产生约束力，供应商不确认的，其投标无效。</w:t>
      </w:r>
    </w:p>
    <w:p>
      <w:pPr>
        <w:snapToGrid w:val="0"/>
        <w:spacing w:line="480" w:lineRule="atLeast"/>
        <w:ind w:firstLine="480" w:firstLineChars="200"/>
        <w:rPr>
          <w:rFonts w:ascii="仿宋_GB2312" w:hAnsi="Calibri" w:eastAsia="仿宋_GB2312"/>
          <w:sz w:val="28"/>
          <w:szCs w:val="22"/>
        </w:rPr>
      </w:pPr>
      <w:r>
        <w:rPr>
          <w:rFonts w:ascii="宋体" w:hAnsi="宋体" w:cs="宋体"/>
          <w:color w:val="000000"/>
          <w:sz w:val="24"/>
          <w:szCs w:val="24"/>
        </w:rPr>
        <w:t>4</w:t>
      </w:r>
      <w:r>
        <w:rPr>
          <w:rFonts w:hint="eastAsia" w:ascii="宋体" w:hAnsi="宋体" w:cs="宋体"/>
          <w:color w:val="000000"/>
          <w:sz w:val="24"/>
          <w:szCs w:val="24"/>
        </w:rPr>
        <w:t>、</w:t>
      </w:r>
      <w:r>
        <w:rPr>
          <w:rFonts w:hint="eastAsia" w:ascii="宋体" w:hAnsi="宋体" w:cs="宋体"/>
          <w:sz w:val="24"/>
          <w:szCs w:val="24"/>
        </w:rPr>
        <w:t>磋商报价</w:t>
      </w:r>
      <w:r>
        <w:rPr>
          <w:rFonts w:hint="eastAsia" w:ascii="宋体" w:hAnsi="宋体" w:cs="宋体"/>
          <w:bCs/>
          <w:sz w:val="24"/>
          <w:szCs w:val="24"/>
        </w:rPr>
        <w:t>（以人民币计价）</w:t>
      </w:r>
      <w:r>
        <w:rPr>
          <w:rFonts w:hint="eastAsia" w:ascii="宋体" w:hAnsi="宋体" w:cs="宋体"/>
          <w:color w:val="000000"/>
          <w:sz w:val="24"/>
          <w:szCs w:val="24"/>
        </w:rPr>
        <w:t>包含响应及完成本项目工作所需的一切费用。包含但不限于绿化</w:t>
      </w:r>
      <w:r>
        <w:rPr>
          <w:rFonts w:hint="eastAsia" w:ascii="宋体" w:hAnsi="宋体" w:cs="宋体"/>
          <w:sz w:val="24"/>
          <w:szCs w:val="24"/>
        </w:rPr>
        <w:t>养护的工具、材料（如遮阳网、防寒包扎用草帘草包、肥料、农药、油等）、设备、设施（如喷水、修剪、锄草、治虫、登高、高空作业车等必要机械）、草籽、草花；绿植租摆的材料、花盆、托盘、包装物、进场及撤场运输、辅材、租赁费、布置摆放、养护，以及本项目的劳务支出、安全保险、劳保福利、住宿、器械损耗、税收、管理费、社会保险、合同履行过程中可能发生的风险及所需的全部费用以及本项目代理服务费。请各投标人在报价时充分考虑各种因素，审慎报价。</w:t>
      </w:r>
    </w:p>
    <w:p>
      <w:pPr>
        <w:snapToGrid w:val="0"/>
        <w:spacing w:line="480" w:lineRule="atLeast"/>
        <w:ind w:firstLine="480" w:firstLineChars="200"/>
        <w:rPr>
          <w:rFonts w:hint="eastAsia" w:ascii="宋体" w:hAnsi="宋体" w:cs="宋体"/>
          <w:sz w:val="24"/>
          <w:szCs w:val="24"/>
        </w:rPr>
      </w:pPr>
      <w:r>
        <w:rPr>
          <w:rFonts w:hint="eastAsia" w:ascii="宋体" w:hAnsi="宋体" w:cs="宋体"/>
          <w:sz w:val="24"/>
          <w:szCs w:val="24"/>
        </w:rPr>
        <w:t>5、本项目绿化养护部分采用固定总价，该部分费用为成交供应商的首轮报价明细中的养护部分总价*（最终总报价/首轮总报价）；绿植租摆部分采用固定单价，成交供应商的综合单价不变，租摆的数量按实结算。同时，成交供应商的成交价在合同实施期间不因市场变化因素、肥料用量等各种情况而变动。</w:t>
      </w:r>
    </w:p>
    <w:p>
      <w:pPr>
        <w:snapToGrid w:val="0"/>
        <w:spacing w:line="520" w:lineRule="exact"/>
        <w:ind w:firstLine="480" w:firstLineChars="200"/>
        <w:rPr>
          <w:rFonts w:hint="eastAsia" w:ascii="宋体" w:hAnsi="宋体" w:cs="宋体"/>
          <w:sz w:val="24"/>
          <w:szCs w:val="24"/>
        </w:rPr>
      </w:pPr>
      <w:r>
        <w:rPr>
          <w:rFonts w:hint="eastAsia" w:ascii="宋体" w:hAnsi="宋体" w:cs="宋体"/>
          <w:sz w:val="24"/>
          <w:szCs w:val="24"/>
        </w:rPr>
        <w:t>特别说明：（1）此处的综合单价为全费用综合单价，包括但不限于绿植租摆的材料、花盆、托盘、包装物、进场及撤场运输、辅材、租赁费、布置摆放、养护、人工费、器械费、企业利润、税款，本项目招标代理费等。</w:t>
      </w:r>
    </w:p>
    <w:p>
      <w:pPr>
        <w:snapToGrid w:val="0"/>
        <w:spacing w:line="520" w:lineRule="exact"/>
        <w:ind w:firstLine="480" w:firstLineChars="200"/>
        <w:rPr>
          <w:rFonts w:ascii="宋体"/>
          <w:b/>
          <w:bCs/>
          <w:sz w:val="24"/>
          <w:szCs w:val="24"/>
        </w:rPr>
      </w:pPr>
      <w:r>
        <w:rPr>
          <w:rFonts w:hint="eastAsia" w:ascii="宋体" w:hAnsi="宋体" w:cs="宋体"/>
          <w:sz w:val="24"/>
          <w:szCs w:val="24"/>
        </w:rPr>
        <w:t>（2）此处的综合单价为成交供应商的首轮报价明细中的单价*（最终总报价/首轮总报价）。</w:t>
      </w:r>
    </w:p>
    <w:p>
      <w:pPr>
        <w:snapToGrid w:val="0"/>
        <w:spacing w:line="480" w:lineRule="exact"/>
        <w:ind w:firstLine="480" w:firstLineChars="200"/>
        <w:rPr>
          <w:rFonts w:ascii="Calibri" w:hAnsi="Calibri" w:cs="Calibri"/>
          <w:sz w:val="24"/>
          <w:szCs w:val="24"/>
        </w:rPr>
      </w:pPr>
      <w:r>
        <w:rPr>
          <w:rFonts w:hint="eastAsia" w:ascii="宋体" w:hAnsi="宋体" w:cs="宋体"/>
          <w:sz w:val="24"/>
          <w:szCs w:val="24"/>
        </w:rPr>
        <w:t>6、最低的磋商报价是成交的重要条件，但不是成交的唯一条件。</w:t>
      </w:r>
    </w:p>
    <w:p>
      <w:pPr>
        <w:snapToGrid w:val="0"/>
        <w:spacing w:line="480" w:lineRule="exact"/>
        <w:ind w:firstLine="494" w:firstLineChars="206"/>
        <w:rPr>
          <w:rFonts w:ascii="宋体" w:cs="宋体"/>
          <w:color w:val="000000"/>
          <w:sz w:val="24"/>
          <w:szCs w:val="24"/>
        </w:rPr>
      </w:pPr>
      <w:r>
        <w:rPr>
          <w:rFonts w:hint="eastAsia" w:ascii="宋体" w:hAnsi="宋体" w:cs="宋体"/>
          <w:sz w:val="24"/>
          <w:szCs w:val="24"/>
        </w:rPr>
        <w:t>7、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480" w:lineRule="exact"/>
        <w:ind w:firstLine="496" w:firstLineChars="206"/>
        <w:outlineLvl w:val="1"/>
        <w:rPr>
          <w:rFonts w:ascii="宋体" w:cs="宋体"/>
          <w:b/>
          <w:bCs/>
          <w:sz w:val="24"/>
          <w:szCs w:val="24"/>
        </w:rPr>
      </w:pPr>
      <w:r>
        <w:rPr>
          <w:rFonts w:hint="eastAsia" w:ascii="宋体" w:hAnsi="宋体" w:cs="宋体"/>
          <w:b/>
          <w:bCs/>
          <w:sz w:val="24"/>
          <w:szCs w:val="24"/>
        </w:rPr>
        <w:t>八、联合体参与磋商</w:t>
      </w:r>
    </w:p>
    <w:p>
      <w:pPr>
        <w:snapToGrid w:val="0"/>
        <w:spacing w:line="480" w:lineRule="exact"/>
        <w:ind w:firstLine="480" w:firstLineChars="200"/>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480" w:lineRule="exact"/>
        <w:ind w:firstLine="482" w:firstLineChars="200"/>
        <w:outlineLvl w:val="1"/>
        <w:rPr>
          <w:rFonts w:ascii="宋体" w:cs="宋体"/>
          <w:sz w:val="24"/>
          <w:szCs w:val="24"/>
        </w:rPr>
      </w:pPr>
      <w:r>
        <w:rPr>
          <w:rFonts w:hint="eastAsia" w:ascii="宋体" w:hAnsi="宋体" w:cs="宋体"/>
          <w:b/>
          <w:bCs/>
          <w:color w:val="000000"/>
          <w:sz w:val="24"/>
          <w:szCs w:val="24"/>
        </w:rPr>
        <w:t>九、</w:t>
      </w:r>
      <w:r>
        <w:rPr>
          <w:rFonts w:hint="eastAsia" w:ascii="宋体" w:hAnsi="宋体" w:cs="宋体"/>
          <w:b/>
          <w:bCs/>
          <w:sz w:val="24"/>
          <w:szCs w:val="24"/>
        </w:rPr>
        <w:t>响应文件及</w:t>
      </w:r>
      <w:r>
        <w:rPr>
          <w:rFonts w:hint="eastAsia" w:ascii="宋体" w:hAnsi="宋体" w:cs="宋体"/>
          <w:b/>
          <w:kern w:val="0"/>
          <w:sz w:val="24"/>
          <w:szCs w:val="24"/>
        </w:rPr>
        <w:t>磋商</w:t>
      </w:r>
      <w:r>
        <w:rPr>
          <w:rFonts w:hint="eastAsia" w:ascii="宋体" w:hAnsi="宋体" w:cs="宋体"/>
          <w:b/>
          <w:bCs/>
          <w:sz w:val="24"/>
          <w:szCs w:val="24"/>
        </w:rPr>
        <w:t>费用</w:t>
      </w:r>
    </w:p>
    <w:p>
      <w:pPr>
        <w:snapToGrid w:val="0"/>
        <w:spacing w:line="480" w:lineRule="exact"/>
        <w:ind w:firstLine="460" w:firstLineChars="192"/>
        <w:rPr>
          <w:rFonts w:hint="eastAsia" w:cs="宋体" w:asciiTheme="majorEastAsia" w:hAnsiTheme="majorEastAsia" w:eastAsiaTheme="majorEastAsia"/>
          <w:sz w:val="24"/>
          <w:szCs w:val="24"/>
        </w:rPr>
      </w:pPr>
      <w:r>
        <w:rPr>
          <w:rFonts w:cs="宋体" w:asciiTheme="majorEastAsia" w:hAnsiTheme="majorEastAsia" w:eastAsiaTheme="majorEastAsia"/>
          <w:sz w:val="24"/>
          <w:szCs w:val="24"/>
        </w:rPr>
        <w:t>1</w:t>
      </w:r>
      <w:r>
        <w:rPr>
          <w:rFonts w:hint="eastAsia" w:cs="宋体" w:asciiTheme="majorEastAsia" w:hAnsiTheme="majorEastAsia" w:eastAsiaTheme="majorEastAsia"/>
          <w:sz w:val="24"/>
          <w:szCs w:val="24"/>
        </w:rPr>
        <w:t>、磋商程序顺利进行后，所有的响应文件都将作为档案保存，不论成交与否，代理机构均不退回。</w:t>
      </w:r>
    </w:p>
    <w:p>
      <w:pPr>
        <w:snapToGrid w:val="0"/>
        <w:spacing w:line="480" w:lineRule="exact"/>
        <w:ind w:firstLine="460" w:firstLineChars="192"/>
        <w:rPr>
          <w:rFonts w:hint="eastAsia" w:ascii="宋体" w:hAnsi="宋体" w:cs="宋体"/>
          <w:b/>
          <w:bCs/>
          <w:kern w:val="0"/>
          <w:sz w:val="24"/>
          <w:szCs w:val="24"/>
        </w:rPr>
      </w:pPr>
      <w:r>
        <w:rPr>
          <w:rFonts w:cs="宋体" w:asciiTheme="majorEastAsia" w:hAnsiTheme="majorEastAsia" w:eastAsiaTheme="majorEastAsia"/>
          <w:color w:val="000000"/>
          <w:sz w:val="24"/>
          <w:szCs w:val="24"/>
        </w:rPr>
        <w:t>2</w:t>
      </w:r>
      <w:r>
        <w:rPr>
          <w:rFonts w:hint="eastAsia" w:cs="宋体" w:asciiTheme="majorEastAsia" w:hAnsiTheme="majorEastAsia" w:eastAsiaTheme="majorEastAsia"/>
          <w:color w:val="000000"/>
          <w:sz w:val="24"/>
          <w:szCs w:val="24"/>
        </w:rPr>
        <w:t>、</w:t>
      </w:r>
      <w:r>
        <w:rPr>
          <w:rFonts w:ascii="宋体" w:hAnsi="宋体"/>
          <w:sz w:val="24"/>
          <w:szCs w:val="24"/>
        </w:rPr>
        <w:t>供应商在提交投标文件的同时提交300元（现金）磋商文件相关费用，无论是否成交，该费用不予退还。</w:t>
      </w:r>
    </w:p>
    <w:p>
      <w:pPr>
        <w:snapToGrid w:val="0"/>
        <w:spacing w:line="480" w:lineRule="exact"/>
        <w:ind w:firstLine="460" w:firstLineChars="192"/>
        <w:rPr>
          <w:rFonts w:hint="eastAsia" w:ascii="宋体" w:hAnsi="宋体" w:cs="宋体"/>
          <w:sz w:val="24"/>
          <w:szCs w:val="24"/>
        </w:rPr>
      </w:pPr>
      <w:r>
        <w:rPr>
          <w:rFonts w:ascii="宋体" w:hAnsi="宋体" w:cs="宋体"/>
          <w:color w:val="000000"/>
          <w:sz w:val="24"/>
          <w:szCs w:val="24"/>
        </w:rPr>
        <w:t>3</w:t>
      </w:r>
      <w:r>
        <w:rPr>
          <w:rFonts w:hint="eastAsia" w:ascii="宋体" w:hAnsi="宋体" w:cs="宋体"/>
          <w:color w:val="000000"/>
          <w:sz w:val="24"/>
          <w:szCs w:val="24"/>
        </w:rPr>
        <w:t>、成交后，供应商须向招标代理机构缴纳招标代理服务费，收费标准为成交价</w:t>
      </w:r>
      <w:r>
        <w:rPr>
          <w:rFonts w:ascii="宋体" w:hAnsi="宋体" w:cs="宋体"/>
          <w:color w:val="000000"/>
          <w:sz w:val="24"/>
          <w:szCs w:val="24"/>
        </w:rPr>
        <w:t>*1.</w:t>
      </w:r>
      <w:r>
        <w:rPr>
          <w:rFonts w:hint="eastAsia" w:ascii="宋体" w:hAnsi="宋体" w:cs="宋体"/>
          <w:color w:val="000000"/>
          <w:sz w:val="24"/>
          <w:szCs w:val="24"/>
        </w:rPr>
        <w:t>2</w:t>
      </w:r>
      <w:r>
        <w:rPr>
          <w:rFonts w:ascii="宋体" w:hAnsi="宋体" w:cs="宋体"/>
          <w:color w:val="000000"/>
          <w:sz w:val="24"/>
          <w:szCs w:val="24"/>
        </w:rPr>
        <w:t>%</w:t>
      </w:r>
      <w:r>
        <w:rPr>
          <w:rFonts w:hint="eastAsia" w:ascii="宋体" w:hAnsi="宋体" w:cs="宋体"/>
          <w:color w:val="000000"/>
          <w:sz w:val="24"/>
          <w:szCs w:val="24"/>
        </w:rPr>
        <w:t>，</w:t>
      </w:r>
      <w:r>
        <w:rPr>
          <w:rFonts w:hint="eastAsia" w:ascii="宋体" w:hAnsi="宋体" w:cs="宋体"/>
          <w:sz w:val="24"/>
          <w:szCs w:val="24"/>
        </w:rPr>
        <w:t>不足20</w:t>
      </w:r>
      <w:r>
        <w:rPr>
          <w:rFonts w:ascii="宋体" w:hAnsi="宋体" w:cs="宋体"/>
          <w:sz w:val="24"/>
          <w:szCs w:val="24"/>
        </w:rPr>
        <w:t>00</w:t>
      </w:r>
      <w:r>
        <w:rPr>
          <w:rFonts w:hint="eastAsia" w:ascii="宋体" w:hAnsi="宋体" w:cs="宋体"/>
          <w:sz w:val="24"/>
          <w:szCs w:val="24"/>
        </w:rPr>
        <w:t>元，按20</w:t>
      </w:r>
      <w:r>
        <w:rPr>
          <w:rFonts w:ascii="宋体" w:hAnsi="宋体" w:cs="宋体"/>
          <w:sz w:val="24"/>
          <w:szCs w:val="24"/>
        </w:rPr>
        <w:t>00</w:t>
      </w:r>
      <w:r>
        <w:rPr>
          <w:rFonts w:hint="eastAsia" w:ascii="宋体" w:hAnsi="宋体" w:cs="宋体"/>
          <w:sz w:val="24"/>
          <w:szCs w:val="24"/>
        </w:rPr>
        <w:t>元计取。</w:t>
      </w:r>
      <w:r>
        <w:rPr>
          <w:rFonts w:hint="eastAsia" w:ascii="宋体" w:hAnsi="宋体" w:cs="宋体"/>
          <w:color w:val="000000"/>
          <w:sz w:val="24"/>
          <w:szCs w:val="24"/>
        </w:rPr>
        <w:t>投标供应商在报价中综合考虑该部分费用，不得单列。</w:t>
      </w:r>
    </w:p>
    <w:p>
      <w:pPr>
        <w:snapToGrid w:val="0"/>
        <w:spacing w:line="480" w:lineRule="exact"/>
        <w:ind w:firstLine="460" w:firstLineChars="192"/>
        <w:rPr>
          <w:rFonts w:hint="eastAsia"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、无论磋商过程和结果如何，参加项目磋商的供应商自行承担与本次项目磋商有关的全部费用。</w:t>
      </w:r>
    </w:p>
    <w:p>
      <w:pPr>
        <w:snapToGrid w:val="0"/>
        <w:spacing w:line="360" w:lineRule="auto"/>
        <w:ind w:firstLine="496" w:firstLineChars="206"/>
        <w:outlineLvl w:val="1"/>
        <w:rPr>
          <w:rFonts w:ascii="宋体" w:cs="宋体"/>
          <w:b/>
          <w:bCs/>
          <w:sz w:val="24"/>
          <w:szCs w:val="24"/>
        </w:rPr>
      </w:pPr>
      <w:r>
        <w:rPr>
          <w:rFonts w:hint="eastAsia" w:ascii="宋体" w:hAnsi="宋体" w:cs="宋体"/>
          <w:b/>
          <w:bCs/>
          <w:sz w:val="24"/>
          <w:szCs w:val="24"/>
        </w:rPr>
        <w:t>十、履约保证金</w:t>
      </w:r>
    </w:p>
    <w:p>
      <w:pPr>
        <w:snapToGrid w:val="0"/>
        <w:spacing w:line="480" w:lineRule="exact"/>
        <w:ind w:firstLine="494" w:firstLineChars="206"/>
        <w:outlineLvl w:val="1"/>
        <w:rPr>
          <w:rFonts w:ascii="宋体" w:cs="宋体"/>
          <w:bCs/>
          <w:sz w:val="24"/>
          <w:szCs w:val="24"/>
        </w:rPr>
      </w:pPr>
      <w:r>
        <w:rPr>
          <w:rFonts w:ascii="宋体" w:hAnsi="宋体" w:cs="宋体"/>
          <w:bCs/>
          <w:sz w:val="24"/>
          <w:szCs w:val="24"/>
        </w:rPr>
        <w:t>1</w:t>
      </w:r>
      <w:r>
        <w:rPr>
          <w:rFonts w:hint="eastAsia" w:ascii="宋体" w:hAnsi="宋体" w:cs="宋体"/>
          <w:bCs/>
          <w:sz w:val="24"/>
          <w:szCs w:val="24"/>
        </w:rPr>
        <w:t>、本项目成交后的履约保证金为成交价的</w:t>
      </w:r>
      <w:r>
        <w:rPr>
          <w:rFonts w:ascii="宋体" w:hAnsi="宋体" w:cs="宋体"/>
          <w:bCs/>
          <w:sz w:val="24"/>
          <w:szCs w:val="24"/>
          <w:u w:val="single"/>
        </w:rPr>
        <w:t xml:space="preserve">  5%  </w:t>
      </w:r>
      <w:r>
        <w:rPr>
          <w:rFonts w:hint="eastAsia" w:ascii="宋体" w:hAnsi="宋体" w:cs="宋体"/>
          <w:bCs/>
          <w:sz w:val="24"/>
          <w:szCs w:val="24"/>
        </w:rPr>
        <w:t>。</w:t>
      </w:r>
      <w:r>
        <w:rPr>
          <w:rFonts w:ascii="宋体" w:hAnsi="宋体" w:cs="宋体"/>
          <w:bCs/>
          <w:sz w:val="24"/>
          <w:szCs w:val="24"/>
        </w:rPr>
        <w:t xml:space="preserve"> </w:t>
      </w:r>
    </w:p>
    <w:p>
      <w:pPr>
        <w:snapToGrid w:val="0"/>
        <w:spacing w:line="480" w:lineRule="exact"/>
        <w:ind w:firstLine="494" w:firstLineChars="206"/>
        <w:outlineLvl w:val="1"/>
        <w:rPr>
          <w:rFonts w:ascii="宋体" w:cs="宋体"/>
          <w:bCs/>
          <w:sz w:val="24"/>
          <w:szCs w:val="24"/>
        </w:rPr>
      </w:pPr>
      <w:r>
        <w:rPr>
          <w:rFonts w:ascii="宋体" w:hAnsi="宋体" w:cs="宋体"/>
          <w:bCs/>
          <w:color w:val="000000"/>
          <w:sz w:val="24"/>
          <w:szCs w:val="24"/>
        </w:rPr>
        <w:t>2</w:t>
      </w:r>
      <w:r>
        <w:rPr>
          <w:rFonts w:hint="eastAsia" w:ascii="宋体" w:hAnsi="宋体" w:cs="宋体"/>
          <w:bCs/>
          <w:color w:val="000000"/>
          <w:sz w:val="24"/>
          <w:szCs w:val="24"/>
        </w:rPr>
        <w:t>、成交供应商的履约保证金须在成交通知书发出后</w:t>
      </w:r>
      <w:r>
        <w:rPr>
          <w:rFonts w:ascii="宋体" w:hAnsi="宋体" w:cs="宋体"/>
          <w:bCs/>
          <w:color w:val="000000"/>
          <w:sz w:val="24"/>
          <w:szCs w:val="24"/>
        </w:rPr>
        <w:t>5</w:t>
      </w:r>
      <w:r>
        <w:rPr>
          <w:rFonts w:hint="eastAsia" w:ascii="宋体" w:hAnsi="宋体" w:cs="宋体"/>
          <w:bCs/>
          <w:color w:val="000000"/>
          <w:sz w:val="24"/>
          <w:szCs w:val="24"/>
        </w:rPr>
        <w:t>日内汇入采购人账户，成交供应商可以选择以</w:t>
      </w:r>
      <w:r>
        <w:rPr>
          <w:rFonts w:hint="eastAsia" w:ascii="宋体" w:hAnsi="宋体" w:cs="宋体"/>
          <w:bCs/>
          <w:color w:val="000000"/>
          <w:sz w:val="24"/>
          <w:szCs w:val="24"/>
          <w:u w:val="single"/>
        </w:rPr>
        <w:t xml:space="preserve"> 支票、汇票、本票或者金融机构、担保机构出具的保函</w:t>
      </w:r>
      <w:r>
        <w:rPr>
          <w:rFonts w:hint="eastAsia" w:ascii="宋体" w:hAnsi="宋体" w:cs="宋体"/>
          <w:bCs/>
          <w:color w:val="000000"/>
          <w:sz w:val="24"/>
          <w:szCs w:val="24"/>
        </w:rPr>
        <w:t>等非现金形式缴纳履约保证金。成交供应商凭成交通知书、履约保函与采购单位签订合同。超期或未有协商，则视为自动放弃成交资格。</w:t>
      </w:r>
      <w:r>
        <w:rPr>
          <w:rFonts w:ascii="宋体" w:hAnsi="宋体" w:cs="宋体"/>
          <w:bCs/>
          <w:sz w:val="24"/>
          <w:szCs w:val="24"/>
        </w:rPr>
        <w:t xml:space="preserve">  </w:t>
      </w:r>
    </w:p>
    <w:p>
      <w:pPr>
        <w:snapToGrid w:val="0"/>
        <w:spacing w:line="480" w:lineRule="exact"/>
        <w:ind w:firstLine="494" w:firstLineChars="206"/>
        <w:outlineLvl w:val="1"/>
        <w:rPr>
          <w:rFonts w:ascii="宋体" w:cs="宋体"/>
          <w:bCs/>
          <w:color w:val="000000"/>
          <w:sz w:val="24"/>
          <w:szCs w:val="24"/>
        </w:rPr>
      </w:pPr>
      <w:r>
        <w:rPr>
          <w:rFonts w:ascii="宋体" w:hAnsi="宋体" w:cs="宋体"/>
          <w:bCs/>
          <w:color w:val="000000"/>
          <w:sz w:val="24"/>
          <w:szCs w:val="24"/>
        </w:rPr>
        <w:t>3</w:t>
      </w:r>
      <w:r>
        <w:rPr>
          <w:rFonts w:hint="eastAsia" w:ascii="宋体" w:hAnsi="宋体" w:cs="宋体"/>
          <w:bCs/>
          <w:color w:val="000000"/>
          <w:sz w:val="24"/>
          <w:szCs w:val="24"/>
        </w:rPr>
        <w:t>、成交供应商在按要求保质保量的完成该项目合同并通过验收后，采购人凭成交供应商提交的申请，一次性无息退还该合同项目的履约保证金。</w:t>
      </w:r>
    </w:p>
    <w:p>
      <w:pPr>
        <w:snapToGrid w:val="0"/>
        <w:spacing w:line="480" w:lineRule="exact"/>
        <w:ind w:firstLine="494" w:firstLineChars="206"/>
        <w:outlineLvl w:val="1"/>
        <w:rPr>
          <w:rFonts w:hint="eastAsia" w:ascii="宋体" w:hAnsi="宋体" w:cs="宋体"/>
          <w:bCs/>
          <w:color w:val="000000"/>
          <w:sz w:val="24"/>
          <w:szCs w:val="24"/>
        </w:rPr>
      </w:pPr>
      <w:r>
        <w:rPr>
          <w:rFonts w:ascii="宋体" w:hAnsi="宋体" w:cs="宋体"/>
          <w:bCs/>
          <w:color w:val="000000"/>
          <w:sz w:val="24"/>
          <w:szCs w:val="24"/>
        </w:rPr>
        <w:t>4</w:t>
      </w:r>
      <w:r>
        <w:rPr>
          <w:rFonts w:hint="eastAsia" w:ascii="宋体" w:hAnsi="宋体" w:cs="宋体"/>
          <w:bCs/>
          <w:color w:val="000000"/>
          <w:sz w:val="24"/>
          <w:szCs w:val="24"/>
        </w:rPr>
        <w:t>、由于成交供应商原因，在签订合同后出现不按合同履行的情况，采购单位有权将履约保证金作为违约金，全额不予退还，同时采购单位亦有权终止合同，成交供应商还须承担相应的法律赔偿责任。</w:t>
      </w:r>
    </w:p>
    <w:p>
      <w:pPr>
        <w:snapToGrid w:val="0"/>
        <w:spacing w:line="480" w:lineRule="exact"/>
        <w:ind w:firstLine="496" w:firstLineChars="206"/>
        <w:outlineLvl w:val="1"/>
        <w:rPr>
          <w:rFonts w:ascii="宋体" w:cs="宋体"/>
          <w:b/>
          <w:color w:val="000000"/>
          <w:sz w:val="24"/>
          <w:szCs w:val="24"/>
        </w:rPr>
      </w:pPr>
      <w:r>
        <w:rPr>
          <w:rFonts w:hint="eastAsia" w:ascii="宋体" w:hAnsi="宋体" w:cs="宋体"/>
          <w:b/>
          <w:bCs/>
          <w:color w:val="000000"/>
          <w:sz w:val="24"/>
          <w:szCs w:val="24"/>
        </w:rPr>
        <w:t>十一、</w:t>
      </w:r>
      <w:r>
        <w:rPr>
          <w:rFonts w:hint="eastAsia" w:ascii="宋体" w:hAnsi="宋体" w:cs="宋体"/>
          <w:b/>
          <w:color w:val="000000"/>
          <w:sz w:val="24"/>
          <w:szCs w:val="24"/>
        </w:rPr>
        <w:t>未尽事宜</w:t>
      </w:r>
    </w:p>
    <w:p>
      <w:pPr>
        <w:snapToGrid w:val="0"/>
        <w:spacing w:line="480" w:lineRule="exact"/>
        <w:ind w:firstLine="494" w:firstLineChars="206"/>
        <w:rPr>
          <w:rFonts w:ascii="宋体" w:cs="宋体"/>
          <w:color w:val="000000"/>
          <w:sz w:val="24"/>
          <w:szCs w:val="24"/>
        </w:rPr>
      </w:pPr>
      <w:r>
        <w:rPr>
          <w:rFonts w:hint="eastAsia" w:ascii="宋体" w:hAnsi="宋体" w:cs="宋体"/>
          <w:color w:val="000000"/>
          <w:sz w:val="24"/>
          <w:szCs w:val="24"/>
        </w:rPr>
        <w:t>按其他有关法律法规的规定执行。</w:t>
      </w:r>
    </w:p>
    <w:p>
      <w:pPr>
        <w:snapToGrid w:val="0"/>
        <w:spacing w:line="480" w:lineRule="exact"/>
        <w:ind w:firstLine="576" w:firstLineChars="206"/>
        <w:outlineLvl w:val="1"/>
        <w:rPr>
          <w:rFonts w:hint="eastAsia" w:ascii="宋体" w:hAnsi="宋体" w:cs="宋体"/>
          <w:b/>
          <w:iCs/>
          <w:color w:val="000000"/>
          <w:w w:val="80"/>
          <w:sz w:val="44"/>
          <w:szCs w:val="44"/>
        </w:rPr>
      </w:pPr>
      <w:r>
        <w:rPr>
          <w:rFonts w:ascii="宋体" w:cs="宋体"/>
          <w:color w:val="000000"/>
          <w:sz w:val="28"/>
          <w:szCs w:val="28"/>
        </w:rPr>
        <w:br w:type="page"/>
      </w:r>
      <w:bookmarkStart w:id="32" w:name="_Toc363573855"/>
    </w:p>
    <w:p>
      <w:pPr>
        <w:snapToGrid w:val="0"/>
        <w:spacing w:line="360" w:lineRule="auto"/>
        <w:ind w:firstLine="707" w:firstLineChars="200"/>
        <w:jc w:val="center"/>
        <w:rPr>
          <w:rFonts w:ascii="宋体" w:cs="宋体"/>
          <w:b/>
          <w:i/>
          <w:color w:val="000000"/>
          <w:w w:val="80"/>
          <w:sz w:val="44"/>
          <w:szCs w:val="44"/>
        </w:rPr>
      </w:pPr>
      <w:r>
        <w:rPr>
          <w:rFonts w:hint="eastAsia" w:ascii="宋体" w:hAnsi="宋体" w:cs="宋体"/>
          <w:b/>
          <w:iCs/>
          <w:color w:val="000000"/>
          <w:w w:val="80"/>
          <w:sz w:val="44"/>
          <w:szCs w:val="44"/>
        </w:rPr>
        <w:t>第三章</w:t>
      </w:r>
      <w:r>
        <w:rPr>
          <w:rFonts w:ascii="宋体" w:hAnsi="宋体" w:cs="宋体"/>
          <w:b/>
          <w:iCs/>
          <w:color w:val="000000"/>
          <w:w w:val="80"/>
          <w:sz w:val="44"/>
          <w:szCs w:val="44"/>
        </w:rPr>
        <w:t xml:space="preserve">  </w:t>
      </w:r>
      <w:bookmarkEnd w:id="22"/>
      <w:bookmarkEnd w:id="23"/>
      <w:bookmarkEnd w:id="24"/>
      <w:bookmarkEnd w:id="25"/>
      <w:bookmarkEnd w:id="26"/>
      <w:bookmarkEnd w:id="27"/>
      <w:bookmarkEnd w:id="28"/>
      <w:bookmarkEnd w:id="29"/>
      <w:bookmarkEnd w:id="30"/>
      <w:bookmarkEnd w:id="31"/>
      <w:r>
        <w:rPr>
          <w:rFonts w:hint="eastAsia" w:ascii="宋体" w:hAnsi="宋体" w:cs="宋体"/>
          <w:b/>
          <w:iCs/>
          <w:color w:val="000000"/>
          <w:w w:val="80"/>
          <w:sz w:val="44"/>
          <w:szCs w:val="44"/>
        </w:rPr>
        <w:t>项目需求</w:t>
      </w:r>
      <w:bookmarkEnd w:id="32"/>
      <w:bookmarkStart w:id="33" w:name="_Toc11499586"/>
      <w:bookmarkStart w:id="34" w:name="_Toc11500282"/>
      <w:bookmarkStart w:id="35" w:name="_Toc8895741"/>
      <w:bookmarkStart w:id="36" w:name="_Toc94544746"/>
      <w:bookmarkStart w:id="37" w:name="_Toc94544872"/>
      <w:bookmarkStart w:id="38" w:name="_Toc94585342"/>
      <w:bookmarkStart w:id="39" w:name="_Toc11554641"/>
      <w:bookmarkStart w:id="40" w:name="_Toc521201599"/>
      <w:bookmarkStart w:id="41" w:name="_Toc12670505"/>
      <w:bookmarkStart w:id="42" w:name="_Toc521203420"/>
      <w:bookmarkStart w:id="43" w:name="_Toc13803483"/>
      <w:bookmarkStart w:id="44" w:name="_Toc363573856"/>
    </w:p>
    <w:p>
      <w:pPr>
        <w:pStyle w:val="111"/>
        <w:numPr>
          <w:ilvl w:val="0"/>
          <w:numId w:val="2"/>
        </w:numPr>
        <w:snapToGrid w:val="0"/>
        <w:spacing w:line="440" w:lineRule="exact"/>
        <w:ind w:firstLineChars="0"/>
        <w:rPr>
          <w:rFonts w:hint="eastAsia" w:ascii="宋体" w:hAnsi="宋体" w:cs="宋体"/>
          <w:b/>
        </w:rPr>
      </w:pPr>
      <w:r>
        <w:rPr>
          <w:rFonts w:hint="eastAsia" w:ascii="宋体" w:hAnsi="宋体" w:cs="宋体"/>
          <w:b/>
        </w:rPr>
        <w:t>绿化养护需求:</w:t>
      </w:r>
    </w:p>
    <w:p>
      <w:pPr>
        <w:numPr>
          <w:ilvl w:val="0"/>
          <w:numId w:val="3"/>
        </w:numPr>
        <w:wordWrap w:val="0"/>
        <w:snapToGrid w:val="0"/>
        <w:spacing w:line="440" w:lineRule="exact"/>
        <w:ind w:firstLine="484"/>
        <w:rPr>
          <w:rFonts w:hint="eastAsia" w:ascii="宋体" w:hAnsi="宋体" w:cs="宋体"/>
          <w:b/>
          <w:bCs/>
          <w:kern w:val="0"/>
          <w:sz w:val="24"/>
          <w:szCs w:val="24"/>
          <w:lang w:val="zh-CN"/>
        </w:rPr>
      </w:pPr>
      <w:r>
        <w:rPr>
          <w:rFonts w:hint="eastAsia" w:ascii="宋体" w:hAnsi="宋体" w:cs="宋体"/>
          <w:b/>
          <w:bCs/>
          <w:kern w:val="0"/>
          <w:sz w:val="24"/>
          <w:szCs w:val="24"/>
          <w:lang w:val="zh-CN"/>
        </w:rPr>
        <w:t>项目地点：南通群英馆（南通市崇川区环城南路</w:t>
      </w:r>
      <w:r>
        <w:rPr>
          <w:rFonts w:hint="eastAsia" w:ascii="宋体" w:hAnsi="宋体" w:cs="宋体"/>
          <w:b/>
          <w:bCs/>
          <w:kern w:val="0"/>
          <w:sz w:val="24"/>
          <w:szCs w:val="24"/>
        </w:rPr>
        <w:t>1号</w:t>
      </w:r>
      <w:r>
        <w:rPr>
          <w:rFonts w:hint="eastAsia" w:ascii="宋体" w:hAnsi="宋体" w:cs="宋体"/>
          <w:b/>
          <w:bCs/>
          <w:kern w:val="0"/>
          <w:sz w:val="24"/>
          <w:szCs w:val="24"/>
          <w:lang w:val="zh-CN"/>
        </w:rPr>
        <w:t>）</w:t>
      </w:r>
    </w:p>
    <w:p>
      <w:pPr>
        <w:wordWrap w:val="0"/>
        <w:snapToGrid w:val="0"/>
        <w:spacing w:line="440" w:lineRule="exact"/>
        <w:rPr>
          <w:rFonts w:hint="eastAsia" w:ascii="宋体" w:hAnsi="宋体" w:cs="宋体"/>
          <w:b/>
          <w:bCs/>
          <w:kern w:val="0"/>
          <w:sz w:val="24"/>
          <w:szCs w:val="24"/>
        </w:rPr>
      </w:pPr>
      <w:r>
        <w:rPr>
          <w:rFonts w:hint="eastAsia" w:ascii="宋体" w:hAnsi="宋体" w:cs="宋体"/>
          <w:b/>
          <w:bCs/>
          <w:kern w:val="0"/>
          <w:sz w:val="24"/>
          <w:szCs w:val="24"/>
        </w:rPr>
        <w:t xml:space="preserve">                 伶工学社（南通市崇川区严家巷4号）</w:t>
      </w:r>
    </w:p>
    <w:p>
      <w:pPr>
        <w:wordWrap w:val="0"/>
        <w:snapToGrid w:val="0"/>
        <w:spacing w:line="440" w:lineRule="exact"/>
        <w:ind w:firstLine="482" w:firstLineChars="200"/>
        <w:rPr>
          <w:rFonts w:hint="eastAsia" w:ascii="宋体" w:hAnsi="宋体" w:cs="宋体"/>
          <w:b/>
          <w:bCs/>
          <w:kern w:val="0"/>
          <w:sz w:val="24"/>
          <w:szCs w:val="24"/>
          <w:lang w:val="zh-CN"/>
        </w:rPr>
      </w:pPr>
      <w:r>
        <w:rPr>
          <w:rFonts w:hint="eastAsia" w:ascii="宋体" w:hAnsi="宋体" w:cs="宋体"/>
          <w:b/>
          <w:bCs/>
          <w:kern w:val="0"/>
          <w:sz w:val="24"/>
          <w:szCs w:val="24"/>
        </w:rPr>
        <w:t>2.</w:t>
      </w:r>
      <w:r>
        <w:rPr>
          <w:rFonts w:hint="eastAsia" w:ascii="宋体" w:hAnsi="宋体" w:cs="宋体"/>
          <w:b/>
          <w:bCs/>
          <w:kern w:val="0"/>
          <w:sz w:val="24"/>
          <w:szCs w:val="24"/>
          <w:lang w:val="zh-CN"/>
        </w:rPr>
        <w:t>项目规模：</w:t>
      </w:r>
    </w:p>
    <w:p>
      <w:pPr>
        <w:wordWrap w:val="0"/>
        <w:snapToGrid w:val="0"/>
        <w:spacing w:line="440" w:lineRule="exact"/>
        <w:ind w:firstLine="484"/>
        <w:rPr>
          <w:rFonts w:hint="eastAsia" w:ascii="宋体" w:hAnsi="宋体" w:cs="宋体"/>
          <w:bCs/>
          <w:kern w:val="0"/>
          <w:sz w:val="24"/>
          <w:szCs w:val="24"/>
          <w:lang w:val="zh-CN"/>
        </w:rPr>
      </w:pPr>
      <w:r>
        <w:rPr>
          <w:rFonts w:hint="eastAsia" w:ascii="宋体" w:hAnsi="宋体" w:cs="宋体"/>
          <w:bCs/>
          <w:kern w:val="0"/>
          <w:sz w:val="24"/>
          <w:szCs w:val="24"/>
          <w:lang w:val="zh-CN"/>
        </w:rPr>
        <w:t>A、南通群英馆：</w:t>
      </w:r>
    </w:p>
    <w:tbl>
      <w:tblPr>
        <w:tblStyle w:val="50"/>
        <w:tblW w:w="10515" w:type="dxa"/>
        <w:tblInd w:w="-255" w:type="dxa"/>
        <w:tblLayout w:type="fixed"/>
        <w:tblCellMar>
          <w:top w:w="0" w:type="dxa"/>
          <w:left w:w="108" w:type="dxa"/>
          <w:bottom w:w="0" w:type="dxa"/>
          <w:right w:w="108" w:type="dxa"/>
        </w:tblCellMar>
      </w:tblPr>
      <w:tblGrid>
        <w:gridCol w:w="585"/>
        <w:gridCol w:w="1470"/>
        <w:gridCol w:w="1395"/>
        <w:gridCol w:w="1125"/>
        <w:gridCol w:w="1175"/>
        <w:gridCol w:w="850"/>
        <w:gridCol w:w="810"/>
        <w:gridCol w:w="3105"/>
      </w:tblGrid>
      <w:tr>
        <w:tblPrEx>
          <w:tblCellMar>
            <w:top w:w="0" w:type="dxa"/>
            <w:left w:w="108" w:type="dxa"/>
            <w:bottom w:w="0" w:type="dxa"/>
            <w:right w:w="108" w:type="dxa"/>
          </w:tblCellMar>
        </w:tblPrEx>
        <w:trPr>
          <w:trHeight w:val="90"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序号</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名称</w:t>
            </w:r>
          </w:p>
        </w:tc>
        <w:tc>
          <w:tcPr>
            <w:tcW w:w="369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规格</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数量</w:t>
            </w:r>
          </w:p>
        </w:tc>
        <w:tc>
          <w:tcPr>
            <w:tcW w:w="8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单位</w:t>
            </w:r>
          </w:p>
        </w:tc>
        <w:tc>
          <w:tcPr>
            <w:tcW w:w="31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备注</w:t>
            </w:r>
          </w:p>
        </w:tc>
      </w:tr>
      <w:tr>
        <w:tblPrEx>
          <w:tblCellMar>
            <w:top w:w="0" w:type="dxa"/>
            <w:left w:w="108" w:type="dxa"/>
            <w:bottom w:w="0" w:type="dxa"/>
            <w:right w:w="108" w:type="dxa"/>
          </w:tblCellMar>
        </w:tblPrEx>
        <w:trPr>
          <w:trHeight w:val="300"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rPr>
            </w:pP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胸（地）径</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高度</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冠幅</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rPr>
            </w:pPr>
          </w:p>
        </w:tc>
        <w:tc>
          <w:tcPr>
            <w:tcW w:w="3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rPr>
            </w:pP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丛生朴树</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700-750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500-550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主杆胸径&gt;15</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丛生朴树特选</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700-750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500-550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造型罗汉松</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250-300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金桂</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5</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山茶</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6</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金森女贞球</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44</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红叶石楠球</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63</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8</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海桐球</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52</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9</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樱花</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d8-10</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250-300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250-300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16</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10</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毛鹃</w:t>
            </w:r>
          </w:p>
        </w:tc>
        <w:tc>
          <w:tcPr>
            <w:tcW w:w="139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447</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49株/m2</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11</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南天竹</w:t>
            </w:r>
          </w:p>
        </w:tc>
        <w:tc>
          <w:tcPr>
            <w:tcW w:w="139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152</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49株/m2</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12</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红花继木</w:t>
            </w:r>
          </w:p>
        </w:tc>
        <w:tc>
          <w:tcPr>
            <w:tcW w:w="139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282</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49株/m2</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13</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茶梅</w:t>
            </w:r>
          </w:p>
        </w:tc>
        <w:tc>
          <w:tcPr>
            <w:tcW w:w="139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234</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49株/m2</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14</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法青</w:t>
            </w:r>
          </w:p>
        </w:tc>
        <w:tc>
          <w:tcPr>
            <w:tcW w:w="139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80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46</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16株/m2</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日本麦冬</w:t>
            </w:r>
          </w:p>
        </w:tc>
        <w:tc>
          <w:tcPr>
            <w:tcW w:w="139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809</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16</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草坪</w:t>
            </w:r>
          </w:p>
        </w:tc>
        <w:tc>
          <w:tcPr>
            <w:tcW w:w="139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415</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17</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时令草花</w:t>
            </w:r>
          </w:p>
        </w:tc>
        <w:tc>
          <w:tcPr>
            <w:tcW w:w="139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117.86</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18</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香樟</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25-30cm</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700-750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500-550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19</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樱花</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15cm</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9</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紫薇</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胸径10cm</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250-300</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21</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垂丝海棠</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胸径7cm</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22</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鸡爪槭</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20cm</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23</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鸡爪槭</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25cm</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24</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红枫</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10-15cm</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6</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桂花</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26</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26</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红叶石楠球</w:t>
            </w:r>
          </w:p>
        </w:tc>
        <w:tc>
          <w:tcPr>
            <w:tcW w:w="139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p150CM</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27</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红叶石楠球</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p200CM</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28</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水杉</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18</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29</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香樟</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8</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30</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女贞</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31</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广玉兰</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32</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黄杨</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33</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银杏</w:t>
            </w:r>
          </w:p>
        </w:tc>
        <w:tc>
          <w:tcPr>
            <w:tcW w:w="13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7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31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2" w:hRule="exact"/>
        </w:trPr>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34</w:t>
            </w:r>
          </w:p>
        </w:tc>
        <w:tc>
          <w:tcPr>
            <w:tcW w:w="1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绿化面积</w:t>
            </w:r>
          </w:p>
        </w:tc>
        <w:tc>
          <w:tcPr>
            <w:tcW w:w="13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c>
          <w:tcPr>
            <w:tcW w:w="112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c>
          <w:tcPr>
            <w:tcW w:w="11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2165</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平方</w:t>
            </w: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r>
      <w:tr>
        <w:tblPrEx>
          <w:tblCellMar>
            <w:top w:w="0" w:type="dxa"/>
            <w:left w:w="108" w:type="dxa"/>
            <w:bottom w:w="0" w:type="dxa"/>
            <w:right w:w="108" w:type="dxa"/>
          </w:tblCellMar>
        </w:tblPrEx>
        <w:trPr>
          <w:trHeight w:val="497" w:hRule="exact"/>
        </w:trPr>
        <w:tc>
          <w:tcPr>
            <w:tcW w:w="58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35</w:t>
            </w:r>
          </w:p>
        </w:tc>
        <w:tc>
          <w:tcPr>
            <w:tcW w:w="1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补植</w:t>
            </w:r>
          </w:p>
        </w:tc>
        <w:tc>
          <w:tcPr>
            <w:tcW w:w="13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c>
          <w:tcPr>
            <w:tcW w:w="112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c>
          <w:tcPr>
            <w:tcW w:w="11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8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项</w:t>
            </w: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景区空缺及影响美观的草坪、日本麦冬、小苗等</w:t>
            </w:r>
          </w:p>
        </w:tc>
      </w:tr>
    </w:tbl>
    <w:p>
      <w:pPr>
        <w:wordWrap w:val="0"/>
        <w:snapToGrid w:val="0"/>
        <w:spacing w:line="420" w:lineRule="exact"/>
        <w:ind w:firstLine="482" w:firstLineChars="200"/>
        <w:rPr>
          <w:rFonts w:hint="eastAsia" w:ascii="宋体" w:hAnsi="宋体" w:cs="宋体"/>
          <w:b/>
          <w:kern w:val="0"/>
          <w:sz w:val="24"/>
          <w:szCs w:val="24"/>
        </w:rPr>
      </w:pPr>
      <w:r>
        <w:rPr>
          <w:rFonts w:hint="eastAsia" w:ascii="宋体" w:hAnsi="宋体" w:cs="宋体"/>
          <w:b/>
          <w:kern w:val="0"/>
          <w:sz w:val="24"/>
          <w:szCs w:val="24"/>
        </w:rPr>
        <w:t>B、伶工学社：</w:t>
      </w:r>
    </w:p>
    <w:tbl>
      <w:tblPr>
        <w:tblStyle w:val="50"/>
        <w:tblW w:w="10530" w:type="dxa"/>
        <w:tblInd w:w="-255" w:type="dxa"/>
        <w:tblLayout w:type="autofit"/>
        <w:tblCellMar>
          <w:top w:w="0" w:type="dxa"/>
          <w:left w:w="108" w:type="dxa"/>
          <w:bottom w:w="0" w:type="dxa"/>
          <w:right w:w="108" w:type="dxa"/>
        </w:tblCellMar>
      </w:tblPr>
      <w:tblGrid>
        <w:gridCol w:w="600"/>
        <w:gridCol w:w="1860"/>
        <w:gridCol w:w="1710"/>
        <w:gridCol w:w="1260"/>
        <w:gridCol w:w="1200"/>
        <w:gridCol w:w="1080"/>
        <w:gridCol w:w="1110"/>
        <w:gridCol w:w="1710"/>
      </w:tblGrid>
      <w:tr>
        <w:tblPrEx>
          <w:tblCellMar>
            <w:top w:w="0" w:type="dxa"/>
            <w:left w:w="108" w:type="dxa"/>
            <w:bottom w:w="0" w:type="dxa"/>
            <w:right w:w="108" w:type="dxa"/>
          </w:tblCellMar>
        </w:tblPrEx>
        <w:trPr>
          <w:trHeight w:val="307" w:hRule="exac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名称</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规格(cm)</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数量</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r>
      <w:tr>
        <w:tblPrEx>
          <w:tblCellMar>
            <w:top w:w="0" w:type="dxa"/>
            <w:left w:w="108" w:type="dxa"/>
            <w:bottom w:w="0" w:type="dxa"/>
            <w:right w:w="108" w:type="dxa"/>
          </w:tblCellMar>
        </w:tblPrEx>
        <w:trPr>
          <w:trHeight w:val="312" w:hRule="exac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胸</w:t>
            </w:r>
            <w:r>
              <w:rPr>
                <w:rStyle w:val="120"/>
                <w:rFonts w:hint="default"/>
                <w:lang w:bidi="ar"/>
              </w:rPr>
              <w:t xml:space="preserve"> </w:t>
            </w:r>
            <w:r>
              <w:rPr>
                <w:rStyle w:val="121"/>
                <w:rFonts w:hint="default"/>
                <w:b w:val="0"/>
                <w:bCs w:val="0"/>
                <w:lang w:bidi="ar"/>
              </w:rPr>
              <w:t>(</w:t>
            </w:r>
            <w:r>
              <w:rPr>
                <w:rStyle w:val="120"/>
                <w:rFonts w:hint="default"/>
                <w:lang w:bidi="ar"/>
              </w:rPr>
              <w:t xml:space="preserve"> </w:t>
            </w:r>
            <w:r>
              <w:rPr>
                <w:rStyle w:val="121"/>
                <w:rFonts w:hint="default"/>
                <w:b w:val="0"/>
                <w:bCs w:val="0"/>
                <w:lang w:bidi="ar"/>
              </w:rPr>
              <w:t>地</w:t>
            </w:r>
            <w:r>
              <w:rPr>
                <w:rStyle w:val="120"/>
                <w:rFonts w:hint="default"/>
                <w:lang w:bidi="ar"/>
              </w:rPr>
              <w:t xml:space="preserve"> </w:t>
            </w:r>
            <w:r>
              <w:rPr>
                <w:rStyle w:val="121"/>
                <w:rFonts w:hint="default"/>
                <w:b w:val="0"/>
                <w:bCs w:val="0"/>
                <w:lang w:bidi="ar"/>
              </w:rPr>
              <w:t>)</w:t>
            </w:r>
            <w:r>
              <w:rPr>
                <w:rStyle w:val="120"/>
                <w:rFonts w:hint="default"/>
                <w:lang w:bidi="ar"/>
              </w:rPr>
              <w:t xml:space="preserve"> </w:t>
            </w:r>
            <w:r>
              <w:rPr>
                <w:rStyle w:val="121"/>
                <w:rFonts w:hint="default"/>
                <w:b w:val="0"/>
                <w:bCs w:val="0"/>
                <w:lang w:bidi="ar"/>
              </w:rPr>
              <w:t>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高度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冠幅</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红花继木桩盆景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红花继木桩盆景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170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红花继木桩盆景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红花继木桩盆景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樱花</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18-22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铁树</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160-180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红枫</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9-10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铁树</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红叶石楠球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150-200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220-250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金森女贞球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造型黑松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红天竹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120-180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150-200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一叶兰</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慈孝竹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枝</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八角金盘</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狭叶若竹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枝</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龟甲冬青球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60-100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120-160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无刺构骨球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80-100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120-180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红花继木球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200-220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350-400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400-450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朴树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三角枫</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茶花</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茶梅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红叶石楠球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60-100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120-160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红花继木球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60-100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120-150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罗汉松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梅花</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12-16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紫薇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黄金条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龙抓槐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10-12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石榴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朴树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结香</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桂花</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垂丝海棠</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百慕大加黑麦草</w:t>
            </w:r>
          </w:p>
          <w:p>
            <w:pPr>
              <w:widowControl/>
              <w:jc w:val="center"/>
              <w:textAlignment w:val="center"/>
              <w:rPr>
                <w:rFonts w:hint="eastAsia" w:ascii="宋体" w:hAnsi="宋体" w:cs="宋体"/>
                <w:color w:val="000000"/>
                <w:kern w:val="0"/>
                <w:sz w:val="20"/>
                <w:lang w:bidi="ar"/>
              </w:rPr>
            </w:pPr>
          </w:p>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草坪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Style w:val="123"/>
                <w:rFonts w:hint="eastAsia"/>
                <w:lang w:bidi="ar"/>
              </w:rPr>
              <w:t>m²</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麦冬草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Style w:val="123"/>
                <w:rFonts w:hint="eastAsia"/>
                <w:lang w:bidi="ar"/>
              </w:rPr>
              <w:t>m²</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2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ascii="宋体" w:hAnsi="宋体" w:cs="宋体"/>
                <w:color w:val="000000"/>
                <w:kern w:val="0"/>
                <w:sz w:val="20"/>
                <w:lang w:bidi="ar"/>
              </w:rPr>
              <w:t>39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rPr>
            </w:pPr>
            <w:r>
              <w:rPr>
                <w:rFonts w:ascii="宋体" w:hAnsi="宋体" w:cs="宋体"/>
                <w:color w:val="000000"/>
                <w:kern w:val="0"/>
                <w:sz w:val="20"/>
                <w:lang w:bidi="ar"/>
              </w:rPr>
              <w:t>其他空地</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rPr>
            </w:pPr>
            <w:r>
              <w:rPr>
                <w:rFonts w:ascii="宋体" w:hAnsi="宋体" w:cs="宋体"/>
                <w:color w:val="000000"/>
                <w:kern w:val="0"/>
                <w:sz w:val="20"/>
                <w:lang w:bidi="ar"/>
              </w:rPr>
              <w:t>大银杏树下、卵石散铺地等</w:t>
            </w:r>
          </w:p>
          <w:p>
            <w:pPr>
              <w:widowControl/>
              <w:jc w:val="center"/>
              <w:textAlignment w:val="center"/>
              <w:rPr>
                <w:rFonts w:hint="eastAsia" w:ascii="宋体" w:hAnsi="宋体" w:cs="宋体"/>
                <w:color w:val="000000"/>
                <w:sz w:val="20"/>
              </w:rPr>
            </w:pPr>
            <w:r>
              <w:rPr>
                <w:rFonts w:ascii="宋体" w:hAnsi="宋体" w:cs="宋体"/>
                <w:color w:val="000000"/>
                <w:kern w:val="0"/>
                <w:sz w:val="20"/>
                <w:lang w:bidi="ar"/>
              </w:rPr>
              <w:t>150</w:t>
            </w:r>
          </w:p>
          <w:p>
            <w:pPr>
              <w:jc w:val="left"/>
              <w:rPr>
                <w:rFonts w:ascii="Arial" w:hAnsi="Arial" w:cs="Arial"/>
                <w:color w:val="000000"/>
                <w:sz w:val="20"/>
              </w:rPr>
            </w:pPr>
            <w:r>
              <w:rPr>
                <w:rStyle w:val="123"/>
                <w:lang w:bidi="ar"/>
              </w:rPr>
              <w:t>m²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123"/>
                <w:rFonts w:hint="eastAsia"/>
                <w:lang w:bidi="ar"/>
              </w:rPr>
            </w:pPr>
            <w:r>
              <w:rPr>
                <w:rStyle w:val="123"/>
                <w:rFonts w:hint="eastAsia"/>
                <w:lang w:bidi="ar"/>
              </w:rPr>
              <w:t>150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123"/>
                <w:rFonts w:hint="eastAsia"/>
                <w:lang w:bidi="ar"/>
              </w:rPr>
            </w:pPr>
            <w:r>
              <w:rPr>
                <w:rStyle w:val="123"/>
                <w:rFonts w:hint="eastAsia"/>
                <w:lang w:bidi="ar"/>
              </w:rPr>
              <w:t xml:space="preserve"> m²</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123"/>
                <w:rFonts w:hint="eastAsia"/>
                <w:lang w:bidi="ar"/>
              </w:rPr>
            </w:pPr>
          </w:p>
        </w:tc>
      </w:tr>
    </w:tbl>
    <w:p>
      <w:pPr>
        <w:adjustRightInd w:val="0"/>
        <w:snapToGrid w:val="0"/>
        <w:spacing w:line="480" w:lineRule="exact"/>
        <w:ind w:firstLine="482" w:firstLineChars="200"/>
        <w:rPr>
          <w:rFonts w:hint="eastAsia" w:ascii="宋体" w:hAnsi="宋体" w:cs="宋体"/>
          <w:b/>
          <w:sz w:val="24"/>
        </w:rPr>
      </w:pPr>
      <w:r>
        <w:rPr>
          <w:rFonts w:hint="eastAsia" w:ascii="宋体" w:hAnsi="宋体" w:cs="宋体"/>
          <w:b/>
          <w:sz w:val="24"/>
        </w:rPr>
        <w:t>3、承包形式及要求:</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3.1成交人包工包料，含绿化养护工具、肥料、药物、材料、设备、设施(如喷水、修剪、锄草、治虫等必要机械)和人员工资、社会保险及福利等一切费用。绿化养护用水电由甲方提供。</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3.2养护所需农药、肥料等均应附有合格证证明，不合格的不得使用。成交人对所承包材料、农药、肥料的质量负责，对由于其质量问题引起的责任均由成交人承担。</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3.3成交人承诺完全具备签订及履行本协议的资格和能力，成交人以自己的技术、设备和人力独立完成本协议项下工程任务而不得将其转包给第三人。</w:t>
      </w:r>
    </w:p>
    <w:p>
      <w:pPr>
        <w:adjustRightInd w:val="0"/>
        <w:snapToGrid w:val="0"/>
        <w:spacing w:line="480" w:lineRule="exact"/>
        <w:ind w:firstLine="482" w:firstLineChars="200"/>
        <w:rPr>
          <w:rFonts w:hint="eastAsia" w:ascii="宋体" w:hAnsi="宋体" w:cs="宋体"/>
          <w:sz w:val="24"/>
          <w:szCs w:val="24"/>
        </w:rPr>
      </w:pPr>
      <w:r>
        <w:rPr>
          <w:rFonts w:hint="eastAsia" w:ascii="宋体" w:hAnsi="宋体" w:cs="宋体"/>
          <w:b/>
          <w:sz w:val="24"/>
        </w:rPr>
        <w:t>4、绿化养护期限：</w:t>
      </w:r>
      <w:r>
        <w:rPr>
          <w:rFonts w:hint="eastAsia" w:ascii="宋体" w:hAnsi="宋体" w:cs="宋体"/>
          <w:sz w:val="24"/>
          <w:szCs w:val="24"/>
        </w:rPr>
        <w:t>11个月（2024年8月1日-2025年6月30日）</w:t>
      </w:r>
    </w:p>
    <w:p>
      <w:pPr>
        <w:adjustRightInd w:val="0"/>
        <w:snapToGrid w:val="0"/>
        <w:spacing w:line="480" w:lineRule="exact"/>
        <w:ind w:firstLine="482" w:firstLineChars="200"/>
        <w:rPr>
          <w:rFonts w:hint="eastAsia" w:ascii="宋体" w:hAnsi="宋体" w:cs="宋体"/>
          <w:b/>
          <w:sz w:val="24"/>
        </w:rPr>
      </w:pPr>
      <w:r>
        <w:rPr>
          <w:rFonts w:hint="eastAsia" w:ascii="宋体" w:hAnsi="宋体" w:cs="宋体"/>
          <w:b/>
          <w:sz w:val="24"/>
        </w:rPr>
        <w:t>5、绿化养护范围:</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5.1南通群英馆、伶工学社内所有绿化，不包含伶工学社三棵古树名木。</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5.2承包养护期限内，成交人应按照园林绿化养护操作规程及园林绿化养护质量标准，合理组织，精心养护，保质保量完成养护管理任务。</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5.3绿化主要养护内容及要求:</w:t>
      </w:r>
    </w:p>
    <w:p>
      <w:pPr>
        <w:adjustRightInd w:val="0"/>
        <w:snapToGrid w:val="0"/>
        <w:spacing w:line="480" w:lineRule="exact"/>
        <w:ind w:firstLine="480" w:firstLineChars="200"/>
        <w:rPr>
          <w:rFonts w:hint="eastAsia" w:ascii="宋体" w:hAnsi="宋体" w:cs="宋体"/>
          <w:color w:val="000000"/>
          <w:sz w:val="24"/>
        </w:rPr>
      </w:pPr>
      <w:r>
        <w:rPr>
          <w:rFonts w:hint="eastAsia" w:ascii="宋体" w:hAnsi="宋体" w:cs="宋体"/>
          <w:sz w:val="24"/>
        </w:rPr>
        <w:t>5.3.1</w:t>
      </w:r>
      <w:r>
        <w:rPr>
          <w:rFonts w:hint="eastAsia" w:ascii="宋体" w:hAnsi="宋体" w:cs="宋体"/>
          <w:color w:val="000000"/>
          <w:sz w:val="24"/>
        </w:rPr>
        <w:t>.草籽：及时、适量追播两季草籽（黑麦草每平米播种量不低于25克、百慕大每平米播种量不低于15克）</w:t>
      </w:r>
    </w:p>
    <w:p>
      <w:pPr>
        <w:adjustRightInd w:val="0"/>
        <w:snapToGrid w:val="0"/>
        <w:spacing w:line="480" w:lineRule="exact"/>
        <w:ind w:firstLine="480" w:firstLineChars="200"/>
        <w:rPr>
          <w:rFonts w:hint="eastAsia" w:ascii="宋体" w:hAnsi="宋体" w:cs="宋体"/>
          <w:color w:val="000000"/>
          <w:sz w:val="24"/>
        </w:rPr>
      </w:pPr>
      <w:r>
        <w:rPr>
          <w:rFonts w:hint="eastAsia" w:ascii="宋体" w:hAnsi="宋体" w:cs="宋体"/>
          <w:sz w:val="24"/>
        </w:rPr>
        <w:t>5.3.2</w:t>
      </w:r>
      <w:r>
        <w:rPr>
          <w:rFonts w:hint="eastAsia" w:ascii="宋体" w:hAnsi="宋体" w:cs="宋体"/>
          <w:color w:val="000000"/>
          <w:sz w:val="24"/>
        </w:rPr>
        <w:t>草花：根据采购方要求更换四季草花，每平方米草花≥50株，草花种植面积约120平方米，规格为120杯，更换不低于4次。四季草花暂定品种：一串红、金盏菊、夏堇、羽叶甘兰、彩叶草、万寿菊、太阳花、鸡冠花、矮牵牛、报春花、孔雀草、夏堇、海棠、长春花等，种植须提前与招标人确定草花品种。</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5.3.3草皮绿地:平整、无杂物、无杂草滋生、无黄土露出，确保草坪生长繁茂、平整高度控制在10厘米为宜，绿篱保证成型美观，生长旺盛，无枯黄，适时浇水，按照操作规程适时进行。</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5.3.4绿篱、花球:平整圆滑、造型优美，花色调配适中，适宜观赏，无黄叶、无折断，无蛀虫，无尘土、无枯枝败叶，适时浇水。</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5.3.5浇水，排水：经常检查排灌情况，保证无积水，无旱情，不得因涝、旱影响植物生长，夏季浇水在早晚进行，避免高温季节午间浇水，冬季浇水在中午进行，干旱季节应满足草坪生长所需的水份。</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5.3.6病虫害防治：适时打药，防虫害，刷石灰水消毒，提高树木抗痛虫能力。根据植物的特点，选择效果好、对植物无伤害的药物，确保树木花草无病虫症状。药物防治必须要做到对空气、水体等不产生污染，不得对植物有药害现象。</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5.3.7施肥:可根据各类植物的生长特点及植物对肥料的需要进行施肥，以保持各类植物的生长旺盛达到一定景观效果。</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5.3.8防旱、防台、防涝:旱季及新种植物要及时进行灌溉，防止植物因脱水而造成枯死。台汛期间要做好加固、排涝抢险工作，防止植物受损。</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5.3.9 树木养护:乔木和灌木修剪以自然树形为主，形成观赏效果。均衡树势、美化树型，根据植物生态习性，及时采取必要的防寒防晒防风措施，保持乔灌木生长环境良好，注重美观，树木无死树、枯枝。</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5.3.10环境卫生:负责及时清理绿化区内草叶枯枝杂物，自行运至区域外并合规处理。</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5.3.11对四盆红花檵木古桩盆景，精细养护，确保存活，生长健康。其它植物保证100%存活率。</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5.4成交人应定期（每月）向采购人汇报养护管理计划及有关措施。</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5.5在本协议承包期限内，由于非采购人原因本协议项下任何绿化养护发生任何质量问题，成交人应当在接到采购人维护通知之日起3天内派人修整，否则采购人可以委托他人修整，由此发生的费用从合同价款中扣除。</w:t>
      </w:r>
    </w:p>
    <w:p>
      <w:pPr>
        <w:adjustRightInd w:val="0"/>
        <w:snapToGrid w:val="0"/>
        <w:spacing w:line="480" w:lineRule="exact"/>
        <w:ind w:firstLine="482" w:firstLineChars="200"/>
        <w:rPr>
          <w:rFonts w:hint="eastAsia" w:ascii="宋体" w:hAnsi="宋体" w:cs="宋体"/>
          <w:b/>
          <w:sz w:val="24"/>
        </w:rPr>
      </w:pPr>
      <w:r>
        <w:rPr>
          <w:rFonts w:hint="eastAsia" w:ascii="宋体" w:hAnsi="宋体" w:cs="宋体"/>
          <w:b/>
          <w:sz w:val="24"/>
        </w:rPr>
        <w:t>6、绿化养护工程规程:</w:t>
      </w:r>
    </w:p>
    <w:p>
      <w:pPr>
        <w:adjustRightInd w:val="0"/>
        <w:snapToGrid w:val="0"/>
        <w:spacing w:line="480" w:lineRule="exact"/>
        <w:ind w:firstLine="482" w:firstLineChars="200"/>
        <w:rPr>
          <w:rFonts w:hint="eastAsia" w:ascii="宋体" w:hAnsi="宋体" w:cs="宋体"/>
          <w:b/>
          <w:sz w:val="24"/>
        </w:rPr>
      </w:pPr>
      <w:r>
        <w:rPr>
          <w:rFonts w:hint="eastAsia" w:ascii="宋体" w:hAnsi="宋体" w:cs="宋体"/>
          <w:b/>
          <w:sz w:val="24"/>
        </w:rPr>
        <w:t>春季</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1、树木修剪:落叶树整形修剪及剥芽修剪；花灌木花后修剪；绿篱、球类徒长枝修除,绿篱和球类的整形修剪。</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2、树木施肥:冬季开花的花灌木花后修剪后追肥。</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3、草坪剪轧:草坪剪轧，包括轧前杂物清理及轧后碎草清扫、草坪收边。</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4、草坪挑草:人工挑草大型野草(车前草等)。</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5、病虫害防治:主要防治大叶黄杨斑蛾及瓜子绢野螟及星天牛、桑天牛。</w:t>
      </w:r>
    </w:p>
    <w:p>
      <w:pPr>
        <w:adjustRightInd w:val="0"/>
        <w:snapToGrid w:val="0"/>
        <w:spacing w:line="480" w:lineRule="exact"/>
        <w:ind w:firstLine="482" w:firstLineChars="200"/>
        <w:rPr>
          <w:rFonts w:hint="eastAsia" w:ascii="宋体" w:hAnsi="宋体" w:cs="宋体"/>
          <w:b/>
          <w:sz w:val="24"/>
        </w:rPr>
      </w:pPr>
      <w:r>
        <w:rPr>
          <w:rFonts w:hint="eastAsia" w:ascii="宋体" w:hAnsi="宋体" w:cs="宋体"/>
          <w:b/>
          <w:sz w:val="24"/>
        </w:rPr>
        <w:t>夏季</w:t>
      </w:r>
    </w:p>
    <w:p>
      <w:pPr>
        <w:numPr>
          <w:ilvl w:val="0"/>
          <w:numId w:val="4"/>
        </w:num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防台防汛:主要是易倒伏树木疏枝修剪和里柱绑扎，新种树木加支或绳索固定，原有缺柱的补柱重新拉固。</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2.树木修剪:对回缩树木的剥芽修剪；紫薇第二次剥芽。</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3、搞旱浇水，高温天气，及时对新树木、干早树木进行浇灌。</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4、草坪除草:化学除草跟踪调查，补遗漏处及药效不明显处。</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5、病虫害防治:人工挑除或填塞熏杀棒防治天牛等蛀干性害虫。观察刺蛾及白粉病等病虫害的发生情况，及时防治。</w:t>
      </w:r>
    </w:p>
    <w:p>
      <w:pPr>
        <w:adjustRightInd w:val="0"/>
        <w:snapToGrid w:val="0"/>
        <w:spacing w:line="480" w:lineRule="exact"/>
        <w:ind w:firstLine="482" w:firstLineChars="200"/>
        <w:rPr>
          <w:rFonts w:hint="eastAsia" w:ascii="宋体" w:hAnsi="宋体" w:cs="宋体"/>
          <w:b/>
          <w:sz w:val="24"/>
        </w:rPr>
      </w:pPr>
      <w:r>
        <w:rPr>
          <w:rFonts w:hint="eastAsia" w:ascii="宋体" w:hAnsi="宋体" w:cs="宋体"/>
          <w:b/>
          <w:sz w:val="24"/>
        </w:rPr>
        <w:t>秋季</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1、树木修剪:高大树木的整形修剪，主要是枯枝、病虫枝修剪，侧枝疏枝修剪；绿篱球类的整形修剪。</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2、树洞填补:部分病虫害或损伤后形成的树木孔洞检查、填补。</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3、树木施肥:部分土壤质量要求较高的树木进行施肥。</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4、草坪剪轧:做好收尾工作。</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5、树木翻土:部分树坛开始翻土工作。</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6、病虫害防治:主要是清除病虫害越冬代，人工捕捉虫巢和天牛。</w:t>
      </w:r>
    </w:p>
    <w:p>
      <w:pPr>
        <w:adjustRightInd w:val="0"/>
        <w:snapToGrid w:val="0"/>
        <w:spacing w:line="480" w:lineRule="exact"/>
        <w:ind w:firstLine="482" w:firstLineChars="200"/>
        <w:rPr>
          <w:rFonts w:hint="eastAsia" w:ascii="宋体" w:hAnsi="宋体" w:cs="宋体"/>
          <w:b/>
          <w:sz w:val="24"/>
        </w:rPr>
      </w:pPr>
      <w:r>
        <w:rPr>
          <w:rFonts w:hint="eastAsia" w:ascii="宋体" w:hAnsi="宋体" w:cs="宋体"/>
          <w:b/>
          <w:sz w:val="24"/>
        </w:rPr>
        <w:t>冬季</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1、树木修剪:高大树木的整形修剪，对乔木进行疏枝，清除枯枝、烂头、病枝。</w:t>
      </w:r>
    </w:p>
    <w:p>
      <w:pPr>
        <w:adjustRightInd w:val="0"/>
        <w:snapToGrid w:val="0"/>
        <w:spacing w:line="480" w:lineRule="exact"/>
        <w:ind w:firstLine="480" w:firstLineChars="200"/>
        <w:rPr>
          <w:rFonts w:hint="eastAsia" w:ascii="宋体" w:hAnsi="宋体" w:cs="宋体"/>
          <w:sz w:val="24"/>
        </w:rPr>
      </w:pPr>
      <w:r>
        <w:rPr>
          <w:rFonts w:hint="eastAsia" w:ascii="宋体" w:hAnsi="宋体" w:cs="宋体"/>
          <w:sz w:val="24"/>
        </w:rPr>
        <w:t>2、防寒包扎:做好植物的防寒保暖工作。</w:t>
      </w:r>
    </w:p>
    <w:p>
      <w:pPr>
        <w:adjustRightInd w:val="0"/>
        <w:snapToGrid w:val="0"/>
        <w:spacing w:line="480" w:lineRule="exact"/>
        <w:ind w:left="420" w:leftChars="200"/>
        <w:rPr>
          <w:rFonts w:hint="eastAsia" w:ascii="宋体" w:hAnsi="宋体" w:cs="宋体"/>
          <w:sz w:val="24"/>
        </w:rPr>
      </w:pPr>
      <w:r>
        <w:rPr>
          <w:rFonts w:hint="eastAsia" w:ascii="宋体" w:hAnsi="宋体" w:cs="宋体"/>
          <w:sz w:val="24"/>
        </w:rPr>
        <w:t>3、病虫害防治:主要是清除病虫害越冬代，人工捕捉虫巢和天牛。</w:t>
      </w:r>
    </w:p>
    <w:p>
      <w:pPr>
        <w:adjustRightInd w:val="0"/>
        <w:snapToGrid w:val="0"/>
        <w:spacing w:line="440" w:lineRule="exact"/>
        <w:ind w:left="420" w:leftChars="200"/>
        <w:rPr>
          <w:rFonts w:hint="eastAsia" w:ascii="宋体" w:hAnsi="宋体" w:cs="宋体"/>
          <w:b/>
          <w:sz w:val="24"/>
        </w:rPr>
      </w:pPr>
      <w:r>
        <w:rPr>
          <w:rFonts w:hint="eastAsia" w:ascii="宋体" w:hAnsi="宋体" w:cs="宋体"/>
          <w:b/>
          <w:sz w:val="24"/>
        </w:rPr>
        <w:t>具体绿化养护次数如下:</w:t>
      </w:r>
    </w:p>
    <w:tbl>
      <w:tblPr>
        <w:tblStyle w:val="50"/>
        <w:tblW w:w="9217" w:type="dxa"/>
        <w:jc w:val="center"/>
        <w:tblLayout w:type="fixed"/>
        <w:tblCellMar>
          <w:top w:w="0" w:type="dxa"/>
          <w:left w:w="108" w:type="dxa"/>
          <w:bottom w:w="0" w:type="dxa"/>
          <w:right w:w="108" w:type="dxa"/>
        </w:tblCellMar>
      </w:tblPr>
      <w:tblGrid>
        <w:gridCol w:w="860"/>
        <w:gridCol w:w="1982"/>
        <w:gridCol w:w="3765"/>
        <w:gridCol w:w="2610"/>
      </w:tblGrid>
      <w:tr>
        <w:tblPrEx>
          <w:tblCellMar>
            <w:top w:w="0" w:type="dxa"/>
            <w:left w:w="108" w:type="dxa"/>
            <w:bottom w:w="0" w:type="dxa"/>
            <w:right w:w="108" w:type="dxa"/>
          </w:tblCellMar>
        </w:tblPrEx>
        <w:trPr>
          <w:trHeight w:val="420" w:hRule="atLeas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序号</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内容</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szCs w:val="21"/>
              </w:rPr>
            </w:pPr>
            <w:r>
              <w:rPr>
                <w:rFonts w:hint="eastAsia" w:cs="楷体" w:asciiTheme="majorEastAsia" w:hAnsiTheme="majorEastAsia" w:eastAsiaTheme="majorEastAsia"/>
                <w:kern w:val="0"/>
                <w:szCs w:val="21"/>
              </w:rPr>
              <w:t>养护次数</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备注</w:t>
            </w:r>
          </w:p>
        </w:tc>
      </w:tr>
      <w:tr>
        <w:tblPrEx>
          <w:tblCellMar>
            <w:top w:w="0" w:type="dxa"/>
            <w:left w:w="108" w:type="dxa"/>
            <w:bottom w:w="0" w:type="dxa"/>
            <w:right w:w="108" w:type="dxa"/>
          </w:tblCellMar>
        </w:tblPrEx>
        <w:trPr>
          <w:trHeight w:val="340" w:hRule="atLeas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1</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树木修剪</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szCs w:val="21"/>
              </w:rPr>
            </w:pPr>
            <w:r>
              <w:rPr>
                <w:rFonts w:hint="eastAsia" w:cs="楷体" w:asciiTheme="majorEastAsia" w:hAnsiTheme="majorEastAsia" w:eastAsiaTheme="majorEastAsia"/>
                <w:kern w:val="0"/>
                <w:szCs w:val="21"/>
              </w:rPr>
              <w:t>每月不少于3次，合计约35次</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含垃圾外运</w:t>
            </w:r>
          </w:p>
        </w:tc>
      </w:tr>
      <w:tr>
        <w:tblPrEx>
          <w:tblCellMar>
            <w:top w:w="0" w:type="dxa"/>
            <w:left w:w="108" w:type="dxa"/>
            <w:bottom w:w="0" w:type="dxa"/>
            <w:right w:w="108" w:type="dxa"/>
          </w:tblCellMar>
        </w:tblPrEx>
        <w:trPr>
          <w:trHeight w:val="340" w:hRule="atLeas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2</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绿篱绿球修剪</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szCs w:val="21"/>
              </w:rPr>
            </w:pPr>
            <w:r>
              <w:rPr>
                <w:rFonts w:hint="eastAsia" w:cs="楷体" w:asciiTheme="majorEastAsia" w:hAnsiTheme="majorEastAsia" w:eastAsiaTheme="majorEastAsia"/>
                <w:kern w:val="0"/>
                <w:szCs w:val="21"/>
              </w:rPr>
              <w:t>每月不少于3次，合计约35次</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含垃圾外运</w:t>
            </w:r>
          </w:p>
        </w:tc>
      </w:tr>
      <w:tr>
        <w:tblPrEx>
          <w:tblCellMar>
            <w:top w:w="0" w:type="dxa"/>
            <w:left w:w="108" w:type="dxa"/>
            <w:bottom w:w="0" w:type="dxa"/>
            <w:right w:w="108" w:type="dxa"/>
          </w:tblCellMar>
        </w:tblPrEx>
        <w:trPr>
          <w:trHeight w:val="340" w:hRule="atLeas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3</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树木打药治虫</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szCs w:val="21"/>
              </w:rPr>
            </w:pPr>
            <w:r>
              <w:rPr>
                <w:rFonts w:hint="eastAsia" w:cs="楷体" w:asciiTheme="majorEastAsia" w:hAnsiTheme="majorEastAsia" w:eastAsiaTheme="majorEastAsia"/>
                <w:kern w:val="0"/>
                <w:szCs w:val="21"/>
              </w:rPr>
              <w:t>两个月一次，合计约6次</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符合国家标准</w:t>
            </w:r>
          </w:p>
        </w:tc>
      </w:tr>
      <w:tr>
        <w:tblPrEx>
          <w:tblCellMar>
            <w:top w:w="0" w:type="dxa"/>
            <w:left w:w="108" w:type="dxa"/>
            <w:bottom w:w="0" w:type="dxa"/>
            <w:right w:w="108" w:type="dxa"/>
          </w:tblCellMar>
        </w:tblPrEx>
        <w:trPr>
          <w:trHeight w:val="340" w:hRule="atLeas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4</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杂草清除</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szCs w:val="21"/>
              </w:rPr>
            </w:pPr>
            <w:r>
              <w:rPr>
                <w:rFonts w:hint="eastAsia" w:cs="楷体" w:asciiTheme="majorEastAsia" w:hAnsiTheme="majorEastAsia" w:eastAsiaTheme="majorEastAsia"/>
                <w:kern w:val="0"/>
                <w:szCs w:val="21"/>
              </w:rPr>
              <w:t>每月不少于3次，合计约35次</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含垃圾外运</w:t>
            </w:r>
          </w:p>
        </w:tc>
      </w:tr>
      <w:tr>
        <w:tblPrEx>
          <w:tblCellMar>
            <w:top w:w="0" w:type="dxa"/>
            <w:left w:w="108" w:type="dxa"/>
            <w:bottom w:w="0" w:type="dxa"/>
            <w:right w:w="108" w:type="dxa"/>
          </w:tblCellMar>
        </w:tblPrEx>
        <w:trPr>
          <w:trHeight w:val="340" w:hRule="atLeas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5</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造型树修剪</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szCs w:val="21"/>
              </w:rPr>
            </w:pPr>
            <w:r>
              <w:rPr>
                <w:rFonts w:hint="eastAsia" w:cs="楷体" w:asciiTheme="majorEastAsia" w:hAnsiTheme="majorEastAsia" w:eastAsiaTheme="majorEastAsia"/>
                <w:kern w:val="0"/>
                <w:szCs w:val="21"/>
              </w:rPr>
              <w:t>每月不少于2次，合计约25次</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szCs w:val="21"/>
              </w:rPr>
              <w:t>根据季节可适当调整</w:t>
            </w:r>
          </w:p>
        </w:tc>
      </w:tr>
      <w:tr>
        <w:tblPrEx>
          <w:tblCellMar>
            <w:top w:w="0" w:type="dxa"/>
            <w:left w:w="108" w:type="dxa"/>
            <w:bottom w:w="0" w:type="dxa"/>
            <w:right w:w="108" w:type="dxa"/>
          </w:tblCellMar>
        </w:tblPrEx>
        <w:trPr>
          <w:trHeight w:val="340" w:hRule="atLeas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6</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造型树浇水</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szCs w:val="21"/>
              </w:rPr>
            </w:pPr>
            <w:r>
              <w:rPr>
                <w:rFonts w:hint="eastAsia" w:cs="楷体" w:asciiTheme="majorEastAsia" w:hAnsiTheme="majorEastAsia" w:eastAsiaTheme="majorEastAsia"/>
                <w:kern w:val="0"/>
                <w:szCs w:val="21"/>
              </w:rPr>
              <w:t>每月不少于3次，合计约35次</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szCs w:val="21"/>
              </w:rPr>
              <w:t>根据季节可适当调整</w:t>
            </w:r>
          </w:p>
        </w:tc>
      </w:tr>
      <w:tr>
        <w:tblPrEx>
          <w:tblCellMar>
            <w:top w:w="0" w:type="dxa"/>
            <w:left w:w="108" w:type="dxa"/>
            <w:bottom w:w="0" w:type="dxa"/>
            <w:right w:w="108" w:type="dxa"/>
          </w:tblCellMar>
        </w:tblPrEx>
        <w:trPr>
          <w:trHeight w:val="340" w:hRule="atLeas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7</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造型树施肥</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szCs w:val="21"/>
              </w:rPr>
            </w:pPr>
            <w:r>
              <w:rPr>
                <w:rFonts w:hint="eastAsia" w:cs="楷体" w:asciiTheme="majorEastAsia" w:hAnsiTheme="majorEastAsia" w:eastAsiaTheme="majorEastAsia"/>
                <w:kern w:val="0"/>
                <w:szCs w:val="21"/>
              </w:rPr>
              <w:t>半年1次，合计约2次</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含肥料</w:t>
            </w:r>
          </w:p>
        </w:tc>
      </w:tr>
      <w:tr>
        <w:tblPrEx>
          <w:tblCellMar>
            <w:top w:w="0" w:type="dxa"/>
            <w:left w:w="108" w:type="dxa"/>
            <w:bottom w:w="0" w:type="dxa"/>
            <w:right w:w="108" w:type="dxa"/>
          </w:tblCellMar>
        </w:tblPrEx>
        <w:trPr>
          <w:trHeight w:val="340" w:hRule="atLeas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8</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花灌木修剪</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szCs w:val="21"/>
              </w:rPr>
            </w:pPr>
            <w:r>
              <w:rPr>
                <w:rFonts w:hint="eastAsia" w:cs="楷体" w:asciiTheme="majorEastAsia" w:hAnsiTheme="majorEastAsia" w:eastAsiaTheme="majorEastAsia"/>
                <w:kern w:val="0"/>
                <w:szCs w:val="21"/>
              </w:rPr>
              <w:t>每月不少于3次，合计约35次</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含垃圾外运</w:t>
            </w:r>
          </w:p>
        </w:tc>
      </w:tr>
      <w:tr>
        <w:tblPrEx>
          <w:tblCellMar>
            <w:top w:w="0" w:type="dxa"/>
            <w:left w:w="108" w:type="dxa"/>
            <w:bottom w:w="0" w:type="dxa"/>
            <w:right w:w="108" w:type="dxa"/>
          </w:tblCellMar>
        </w:tblPrEx>
        <w:trPr>
          <w:trHeight w:val="340" w:hRule="atLeas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9</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竹类芭蕉修剪</w:t>
            </w:r>
          </w:p>
        </w:tc>
        <w:tc>
          <w:tcPr>
            <w:tcW w:w="3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szCs w:val="21"/>
              </w:rPr>
            </w:pPr>
            <w:r>
              <w:rPr>
                <w:rFonts w:hint="eastAsia" w:cs="楷体" w:asciiTheme="majorEastAsia" w:hAnsiTheme="majorEastAsia" w:eastAsiaTheme="majorEastAsia"/>
                <w:kern w:val="0"/>
                <w:szCs w:val="21"/>
              </w:rPr>
              <w:t>两个月一次，合计约6次</w:t>
            </w:r>
          </w:p>
        </w:tc>
        <w:tc>
          <w:tcPr>
            <w:tcW w:w="2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cs="楷体" w:asciiTheme="majorEastAsia" w:hAnsiTheme="majorEastAsia" w:eastAsiaTheme="majorEastAsia"/>
                <w:color w:val="000000"/>
                <w:szCs w:val="21"/>
              </w:rPr>
            </w:pPr>
            <w:r>
              <w:rPr>
                <w:rFonts w:hint="eastAsia" w:cs="楷体" w:asciiTheme="majorEastAsia" w:hAnsiTheme="majorEastAsia" w:eastAsiaTheme="majorEastAsia"/>
                <w:color w:val="000000"/>
                <w:kern w:val="0"/>
                <w:szCs w:val="21"/>
              </w:rPr>
              <w:t>含垃圾外运</w:t>
            </w:r>
          </w:p>
        </w:tc>
      </w:tr>
    </w:tbl>
    <w:p>
      <w:pPr>
        <w:spacing w:line="440" w:lineRule="exact"/>
        <w:ind w:firstLine="482" w:firstLineChars="200"/>
        <w:rPr>
          <w:rFonts w:hint="eastAsia" w:ascii="宋体" w:hAnsi="宋体" w:cs="宋体"/>
          <w:b/>
          <w:bCs/>
          <w:sz w:val="24"/>
        </w:rPr>
      </w:pPr>
      <w:r>
        <w:rPr>
          <w:rFonts w:hint="eastAsia" w:ascii="宋体" w:hAnsi="宋体" w:cs="宋体"/>
          <w:b/>
          <w:bCs/>
          <w:sz w:val="24"/>
        </w:rPr>
        <w:t>7、绿化养护管理考核办法</w:t>
      </w:r>
    </w:p>
    <w:p>
      <w:pPr>
        <w:spacing w:line="440" w:lineRule="exact"/>
        <w:ind w:firstLine="480" w:firstLineChars="200"/>
        <w:rPr>
          <w:rFonts w:hint="eastAsia" w:ascii="宋体" w:hAnsi="宋体" w:cs="宋体"/>
          <w:sz w:val="24"/>
        </w:rPr>
      </w:pPr>
      <w:r>
        <w:rPr>
          <w:rFonts w:hint="eastAsia" w:ascii="宋体" w:hAnsi="宋体" w:cs="宋体"/>
          <w:sz w:val="24"/>
        </w:rPr>
        <w:t>7.1考核方式</w:t>
      </w:r>
    </w:p>
    <w:p>
      <w:pPr>
        <w:spacing w:line="440" w:lineRule="exact"/>
        <w:ind w:firstLine="480" w:firstLineChars="200"/>
        <w:rPr>
          <w:rFonts w:hint="eastAsia" w:ascii="宋体" w:hAnsi="宋体" w:cs="宋体"/>
          <w:sz w:val="24"/>
        </w:rPr>
      </w:pPr>
      <w:r>
        <w:rPr>
          <w:rFonts w:hint="eastAsia" w:ascii="宋体" w:hAnsi="宋体" w:cs="宋体"/>
          <w:sz w:val="24"/>
        </w:rPr>
        <w:t>考核每月组织一次，由阵地管理部安排人员按照《现场绿化养护管理考核评分标准》（详见附件1）内容进行考核。</w:t>
      </w:r>
    </w:p>
    <w:p>
      <w:pPr>
        <w:spacing w:line="440" w:lineRule="exact"/>
        <w:rPr>
          <w:rFonts w:hint="eastAsia" w:ascii="宋体" w:hAnsi="宋体" w:cs="宋体"/>
          <w:b/>
          <w:bCs/>
          <w:sz w:val="24"/>
          <w:highlight w:val="yellow"/>
        </w:rPr>
        <w:sectPr>
          <w:headerReference r:id="rId7" w:type="default"/>
          <w:footerReference r:id="rId8" w:type="default"/>
          <w:pgSz w:w="11906" w:h="16838"/>
          <w:pgMar w:top="1021" w:right="1134" w:bottom="1134" w:left="1134" w:header="851" w:footer="992" w:gutter="0"/>
          <w:pgNumType w:fmt="numberInDash"/>
          <w:cols w:space="720" w:num="1"/>
          <w:docGrid w:linePitch="312" w:charSpace="0"/>
        </w:sectPr>
      </w:pPr>
    </w:p>
    <w:p>
      <w:pPr>
        <w:rPr>
          <w:rFonts w:hint="eastAsia" w:cs="仿宋" w:asciiTheme="majorEastAsia" w:hAnsiTheme="majorEastAsia" w:eastAsiaTheme="majorEastAsia"/>
          <w:sz w:val="24"/>
        </w:rPr>
      </w:pPr>
      <w:r>
        <w:rPr>
          <w:rFonts w:hint="eastAsia" w:cs="仿宋" w:asciiTheme="majorEastAsia" w:hAnsiTheme="majorEastAsia" w:eastAsiaTheme="majorEastAsia"/>
          <w:b/>
          <w:bCs/>
          <w:sz w:val="24"/>
        </w:rPr>
        <w:t xml:space="preserve">附件1  </w:t>
      </w:r>
      <w:r>
        <w:rPr>
          <w:rFonts w:hint="eastAsia" w:cs="仿宋" w:asciiTheme="majorEastAsia" w:hAnsiTheme="majorEastAsia" w:eastAsiaTheme="majorEastAsia"/>
          <w:sz w:val="24"/>
        </w:rPr>
        <w:t xml:space="preserve">                                 </w:t>
      </w:r>
    </w:p>
    <w:p>
      <w:pPr>
        <w:ind w:right="720"/>
        <w:jc w:val="center"/>
        <w:rPr>
          <w:rFonts w:hint="eastAsia" w:cs="仿宋" w:asciiTheme="majorEastAsia" w:hAnsiTheme="majorEastAsia" w:eastAsiaTheme="majorEastAsia"/>
          <w:b/>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年</w:t>
      </w:r>
      <w:r>
        <w:rPr>
          <w:rFonts w:hint="eastAsia" w:cs="仿宋" w:asciiTheme="majorEastAsia" w:hAnsiTheme="majorEastAsia" w:eastAsiaTheme="majorEastAsia"/>
          <w:b/>
          <w:sz w:val="24"/>
          <w:u w:val="single"/>
        </w:rPr>
        <w:t xml:space="preserve">    </w:t>
      </w:r>
      <w:r>
        <w:rPr>
          <w:rFonts w:hint="eastAsia" w:cs="仿宋" w:asciiTheme="majorEastAsia" w:hAnsiTheme="majorEastAsia" w:eastAsiaTheme="majorEastAsia"/>
          <w:b/>
          <w:sz w:val="24"/>
        </w:rPr>
        <w:t>月份绿化养护管理考核评分标准</w:t>
      </w:r>
    </w:p>
    <w:tbl>
      <w:tblPr>
        <w:tblStyle w:val="50"/>
        <w:tblW w:w="10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4121"/>
        <w:gridCol w:w="640"/>
        <w:gridCol w:w="450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1" w:type="dxa"/>
            <w:vAlign w:val="center"/>
          </w:tcPr>
          <w:p>
            <w:pPr>
              <w:widowControl/>
              <w:jc w:val="center"/>
              <w:rPr>
                <w:rFonts w:hint="eastAsia" w:ascii="宋体" w:hAnsi="宋体" w:cs="宋体"/>
                <w:b/>
                <w:bCs/>
                <w:szCs w:val="21"/>
              </w:rPr>
            </w:pPr>
            <w:r>
              <w:rPr>
                <w:rFonts w:hint="eastAsia" w:ascii="宋体" w:hAnsi="宋体" w:cs="宋体"/>
                <w:b/>
                <w:bCs/>
                <w:szCs w:val="21"/>
              </w:rPr>
              <w:t>条目</w:t>
            </w:r>
          </w:p>
        </w:tc>
        <w:tc>
          <w:tcPr>
            <w:tcW w:w="4121" w:type="dxa"/>
            <w:vAlign w:val="center"/>
          </w:tcPr>
          <w:p>
            <w:pPr>
              <w:widowControl/>
              <w:jc w:val="center"/>
              <w:rPr>
                <w:rFonts w:hint="eastAsia" w:ascii="宋体" w:hAnsi="宋体" w:cs="宋体"/>
                <w:b/>
                <w:bCs/>
                <w:szCs w:val="21"/>
              </w:rPr>
            </w:pPr>
            <w:r>
              <w:rPr>
                <w:rFonts w:hint="eastAsia" w:ascii="宋体" w:hAnsi="宋体" w:cs="宋体"/>
                <w:b/>
                <w:bCs/>
                <w:szCs w:val="21"/>
              </w:rPr>
              <w:t>考核内容及管护要求</w:t>
            </w:r>
          </w:p>
        </w:tc>
        <w:tc>
          <w:tcPr>
            <w:tcW w:w="640" w:type="dxa"/>
            <w:vAlign w:val="center"/>
          </w:tcPr>
          <w:p>
            <w:pPr>
              <w:widowControl/>
              <w:jc w:val="center"/>
              <w:rPr>
                <w:rFonts w:hint="eastAsia" w:ascii="宋体" w:hAnsi="宋体" w:cs="宋体"/>
                <w:b/>
                <w:bCs/>
                <w:szCs w:val="21"/>
              </w:rPr>
            </w:pPr>
            <w:r>
              <w:rPr>
                <w:rFonts w:hint="eastAsia" w:ascii="宋体" w:hAnsi="宋体" w:cs="宋体"/>
                <w:b/>
                <w:bCs/>
                <w:szCs w:val="21"/>
              </w:rPr>
              <w:t>标准分值</w:t>
            </w:r>
          </w:p>
        </w:tc>
        <w:tc>
          <w:tcPr>
            <w:tcW w:w="4500" w:type="dxa"/>
            <w:vAlign w:val="center"/>
          </w:tcPr>
          <w:p>
            <w:pPr>
              <w:widowControl/>
              <w:jc w:val="center"/>
              <w:rPr>
                <w:rFonts w:hint="eastAsia" w:ascii="宋体" w:hAnsi="宋体" w:cs="宋体"/>
                <w:b/>
                <w:bCs/>
                <w:szCs w:val="21"/>
              </w:rPr>
            </w:pPr>
            <w:r>
              <w:rPr>
                <w:rFonts w:hint="eastAsia" w:ascii="宋体" w:hAnsi="宋体" w:cs="宋体"/>
                <w:b/>
                <w:bCs/>
                <w:szCs w:val="21"/>
              </w:rPr>
              <w:t>扣分细则</w:t>
            </w:r>
          </w:p>
        </w:tc>
        <w:tc>
          <w:tcPr>
            <w:tcW w:w="655" w:type="dxa"/>
            <w:vAlign w:val="center"/>
          </w:tcPr>
          <w:p>
            <w:pPr>
              <w:widowControl/>
              <w:jc w:val="center"/>
              <w:rPr>
                <w:rFonts w:hint="eastAsia" w:ascii="宋体" w:hAnsi="宋体" w:cs="宋体"/>
                <w:b/>
                <w:bCs/>
                <w:szCs w:val="21"/>
              </w:rPr>
            </w:pPr>
            <w:r>
              <w:rPr>
                <w:rFonts w:hint="eastAsia" w:ascii="宋体" w:hAnsi="宋体" w:cs="宋体"/>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41" w:type="dxa"/>
            <w:vAlign w:val="center"/>
          </w:tcPr>
          <w:p>
            <w:pPr>
              <w:widowControl/>
              <w:jc w:val="center"/>
              <w:rPr>
                <w:rFonts w:hint="eastAsia" w:ascii="宋体" w:hAnsi="宋体" w:cs="宋体"/>
                <w:b/>
                <w:bCs/>
                <w:szCs w:val="21"/>
              </w:rPr>
            </w:pPr>
            <w:r>
              <w:rPr>
                <w:rFonts w:hint="eastAsia" w:ascii="宋体" w:hAnsi="宋体" w:cs="宋体"/>
                <w:b/>
                <w:bCs/>
                <w:kern w:val="0"/>
                <w:szCs w:val="21"/>
              </w:rPr>
              <w:t>绿化长势</w:t>
            </w:r>
          </w:p>
        </w:tc>
        <w:tc>
          <w:tcPr>
            <w:tcW w:w="4121" w:type="dxa"/>
            <w:vAlign w:val="center"/>
          </w:tcPr>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树木、草坪、花卉、色块等生长茂盛，树冠完整，树形整齐美观。无倾斜、倒伏，无枯枝、死树，绿化保存率100%。</w:t>
            </w:r>
          </w:p>
        </w:tc>
        <w:tc>
          <w:tcPr>
            <w:tcW w:w="640" w:type="dxa"/>
            <w:vAlign w:val="center"/>
          </w:tcPr>
          <w:p>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w:t>
            </w:r>
          </w:p>
        </w:tc>
        <w:tc>
          <w:tcPr>
            <w:tcW w:w="4500" w:type="dxa"/>
            <w:vAlign w:val="center"/>
          </w:tcPr>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树冠不完整、树形差、有光秃落叶的,扣1分/株·处，有树木倾斜或倒伏现象的，扣0.5分/株·处，有明显枯枝的0.5分/株·处，有死亡现象的扣1分/株·㎡﹑草坪1分/20㎡；不及时进行补缺的，扣0.5分/株·处。</w:t>
            </w:r>
          </w:p>
        </w:tc>
        <w:tc>
          <w:tcPr>
            <w:tcW w:w="655" w:type="dxa"/>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41" w:type="dxa"/>
            <w:vAlign w:val="center"/>
          </w:tcPr>
          <w:p>
            <w:pPr>
              <w:widowControl/>
              <w:jc w:val="center"/>
              <w:rPr>
                <w:rFonts w:hint="eastAsia" w:ascii="宋体" w:hAnsi="宋体" w:cs="宋体"/>
                <w:b/>
                <w:bCs/>
                <w:szCs w:val="21"/>
              </w:rPr>
            </w:pPr>
            <w:r>
              <w:rPr>
                <w:rFonts w:hint="eastAsia" w:ascii="宋体" w:hAnsi="宋体" w:cs="宋体"/>
                <w:b/>
                <w:bCs/>
                <w:kern w:val="0"/>
                <w:szCs w:val="21"/>
              </w:rPr>
              <w:t>松土除草</w:t>
            </w:r>
          </w:p>
        </w:tc>
        <w:tc>
          <w:tcPr>
            <w:tcW w:w="4121" w:type="dxa"/>
            <w:vAlign w:val="center"/>
          </w:tcPr>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及时松土除杂草，常年保持土壤疏松，松土深度不伤根系。不得随意使用化学除草剂，遵循先人工除草后机械修剪的原则。</w:t>
            </w:r>
          </w:p>
        </w:tc>
        <w:tc>
          <w:tcPr>
            <w:tcW w:w="640" w:type="dxa"/>
            <w:vAlign w:val="center"/>
          </w:tcPr>
          <w:p>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w:t>
            </w:r>
          </w:p>
        </w:tc>
        <w:tc>
          <w:tcPr>
            <w:tcW w:w="4500" w:type="dxa"/>
            <w:vAlign w:val="center"/>
          </w:tcPr>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杂草未及时清除扣0.5-1分/50平方，树穴、地被土壤板结，扣0.5分/处。随意使用化学除草剂的2分/处·次；违反先人工除草后机械修剪的原则，扣1分/处（50平方为一处）。</w:t>
            </w:r>
          </w:p>
        </w:tc>
        <w:tc>
          <w:tcPr>
            <w:tcW w:w="655" w:type="dxa"/>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641" w:type="dxa"/>
            <w:vAlign w:val="center"/>
          </w:tcPr>
          <w:p>
            <w:pPr>
              <w:widowControl/>
              <w:jc w:val="center"/>
              <w:rPr>
                <w:rFonts w:hint="eastAsia" w:ascii="宋体" w:hAnsi="宋体" w:cs="宋体"/>
                <w:b/>
                <w:bCs/>
                <w:szCs w:val="21"/>
              </w:rPr>
            </w:pPr>
            <w:r>
              <w:rPr>
                <w:rFonts w:hint="eastAsia" w:ascii="宋体" w:hAnsi="宋体" w:cs="宋体"/>
                <w:b/>
                <w:bCs/>
                <w:kern w:val="0"/>
                <w:szCs w:val="21"/>
              </w:rPr>
              <w:t>浇水抗旱</w:t>
            </w:r>
          </w:p>
        </w:tc>
        <w:tc>
          <w:tcPr>
            <w:tcW w:w="4121" w:type="dxa"/>
            <w:vAlign w:val="center"/>
          </w:tcPr>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对绿化树木及草坪进行适期适量浇水、喷水，及时抗旱，确保正常生长。绿地内不积水，坑坑洼洼必须及时填平，确保雨后积水及时排除。</w:t>
            </w:r>
          </w:p>
        </w:tc>
        <w:tc>
          <w:tcPr>
            <w:tcW w:w="640" w:type="dxa"/>
            <w:vAlign w:val="center"/>
          </w:tcPr>
          <w:p>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w:t>
            </w:r>
          </w:p>
        </w:tc>
        <w:tc>
          <w:tcPr>
            <w:tcW w:w="4500" w:type="dxa"/>
            <w:vAlign w:val="center"/>
          </w:tcPr>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未及时浇水、喷水，致使树木、草坪生长不良的，扣1-5分/处，致植物枯死的加倍扣分。</w:t>
            </w:r>
          </w:p>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有积水现象的，扣0.5分/处·次。</w:t>
            </w:r>
          </w:p>
        </w:tc>
        <w:tc>
          <w:tcPr>
            <w:tcW w:w="655" w:type="dxa"/>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41" w:type="dxa"/>
            <w:vAlign w:val="center"/>
          </w:tcPr>
          <w:p>
            <w:pPr>
              <w:widowControl/>
              <w:jc w:val="center"/>
              <w:rPr>
                <w:rFonts w:hint="eastAsia" w:ascii="宋体" w:hAnsi="宋体" w:cs="宋体"/>
                <w:b/>
                <w:bCs/>
                <w:szCs w:val="21"/>
              </w:rPr>
            </w:pPr>
            <w:r>
              <w:rPr>
                <w:rFonts w:hint="eastAsia" w:ascii="宋体" w:hAnsi="宋体" w:cs="宋体"/>
                <w:b/>
                <w:bCs/>
                <w:szCs w:val="21"/>
              </w:rPr>
              <w:t>施肥</w:t>
            </w:r>
          </w:p>
        </w:tc>
        <w:tc>
          <w:tcPr>
            <w:tcW w:w="4121" w:type="dxa"/>
            <w:vAlign w:val="center"/>
          </w:tcPr>
          <w:p>
            <w:pPr>
              <w:widowControl/>
              <w:adjustRightInd w:val="0"/>
              <w:snapToGrid w:val="0"/>
              <w:spacing w:line="240" w:lineRule="exact"/>
              <w:jc w:val="left"/>
              <w:rPr>
                <w:rFonts w:hint="eastAsia" w:ascii="宋体" w:hAnsi="宋体" w:cs="宋体"/>
                <w:szCs w:val="21"/>
              </w:rPr>
            </w:pPr>
            <w:r>
              <w:rPr>
                <w:rFonts w:hint="eastAsia" w:ascii="宋体" w:hAnsi="宋体" w:cs="宋体"/>
                <w:kern w:val="0"/>
                <w:szCs w:val="21"/>
              </w:rPr>
              <w:t>按要求施肥及时，规范操作，施肥后及时覆盖。施肥方法适当，用量合理，不产生肥害。</w:t>
            </w:r>
          </w:p>
        </w:tc>
        <w:tc>
          <w:tcPr>
            <w:tcW w:w="640" w:type="dxa"/>
            <w:vAlign w:val="center"/>
          </w:tcPr>
          <w:p>
            <w:pPr>
              <w:widowControl/>
              <w:adjustRightInd w:val="0"/>
              <w:snapToGrid w:val="0"/>
              <w:spacing w:line="240" w:lineRule="exact"/>
              <w:jc w:val="center"/>
              <w:rPr>
                <w:rFonts w:hint="eastAsia" w:ascii="宋体" w:hAnsi="宋体" w:cs="宋体"/>
                <w:szCs w:val="21"/>
              </w:rPr>
            </w:pPr>
            <w:r>
              <w:rPr>
                <w:rFonts w:hint="eastAsia" w:ascii="宋体" w:hAnsi="宋体" w:cs="宋体"/>
                <w:szCs w:val="21"/>
              </w:rPr>
              <w:t>9</w:t>
            </w:r>
          </w:p>
        </w:tc>
        <w:tc>
          <w:tcPr>
            <w:tcW w:w="4500" w:type="dxa"/>
            <w:vAlign w:val="center"/>
          </w:tcPr>
          <w:p>
            <w:pPr>
              <w:widowControl/>
              <w:adjustRightInd w:val="0"/>
              <w:snapToGrid w:val="0"/>
              <w:spacing w:line="240" w:lineRule="exact"/>
              <w:jc w:val="left"/>
              <w:rPr>
                <w:rFonts w:hint="eastAsia" w:ascii="宋体" w:hAnsi="宋体" w:cs="宋体"/>
                <w:szCs w:val="21"/>
              </w:rPr>
            </w:pPr>
            <w:r>
              <w:rPr>
                <w:rFonts w:hint="eastAsia" w:ascii="宋体" w:hAnsi="宋体" w:cs="宋体"/>
                <w:kern w:val="0"/>
                <w:szCs w:val="21"/>
              </w:rPr>
              <w:t>未按要求保质保量施肥的，每次扣2分；发生肥害，扣2分/处。</w:t>
            </w:r>
          </w:p>
        </w:tc>
        <w:tc>
          <w:tcPr>
            <w:tcW w:w="655" w:type="dxa"/>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1" w:type="dxa"/>
            <w:vAlign w:val="center"/>
          </w:tcPr>
          <w:p>
            <w:pPr>
              <w:widowControl/>
              <w:jc w:val="center"/>
              <w:rPr>
                <w:rFonts w:hint="eastAsia" w:ascii="宋体" w:hAnsi="宋体" w:cs="宋体"/>
                <w:b/>
                <w:bCs/>
                <w:szCs w:val="21"/>
              </w:rPr>
            </w:pPr>
            <w:r>
              <w:rPr>
                <w:rFonts w:hint="eastAsia" w:ascii="宋体" w:hAnsi="宋体" w:cs="宋体"/>
                <w:b/>
                <w:bCs/>
                <w:szCs w:val="21"/>
              </w:rPr>
              <w:t>病虫防治</w:t>
            </w:r>
          </w:p>
        </w:tc>
        <w:tc>
          <w:tcPr>
            <w:tcW w:w="4121" w:type="dxa"/>
            <w:vAlign w:val="center"/>
          </w:tcPr>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按规定使用农药，科学防治，做到合理配比、选准药品、用量正确，无药害产生。</w:t>
            </w:r>
          </w:p>
        </w:tc>
        <w:tc>
          <w:tcPr>
            <w:tcW w:w="640" w:type="dxa"/>
            <w:vAlign w:val="center"/>
          </w:tcPr>
          <w:p>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w:t>
            </w:r>
          </w:p>
        </w:tc>
        <w:tc>
          <w:tcPr>
            <w:tcW w:w="4500" w:type="dxa"/>
            <w:vAlign w:val="center"/>
          </w:tcPr>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防治不及时的，扣1分/次；不及时清除越冬虫蛹、虫茧及有关病原体的扣1分/处。</w:t>
            </w:r>
          </w:p>
        </w:tc>
        <w:tc>
          <w:tcPr>
            <w:tcW w:w="655" w:type="dxa"/>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641" w:type="dxa"/>
            <w:vAlign w:val="center"/>
          </w:tcPr>
          <w:p>
            <w:pPr>
              <w:widowControl/>
              <w:jc w:val="center"/>
              <w:rPr>
                <w:rFonts w:hint="eastAsia" w:ascii="宋体" w:hAnsi="宋体" w:cs="宋体"/>
                <w:b/>
                <w:bCs/>
                <w:szCs w:val="21"/>
              </w:rPr>
            </w:pPr>
            <w:r>
              <w:rPr>
                <w:rFonts w:hint="eastAsia" w:ascii="宋体" w:hAnsi="宋体" w:cs="宋体"/>
                <w:b/>
                <w:bCs/>
                <w:szCs w:val="21"/>
              </w:rPr>
              <w:t>修剪整形</w:t>
            </w:r>
          </w:p>
        </w:tc>
        <w:tc>
          <w:tcPr>
            <w:tcW w:w="4121" w:type="dxa"/>
            <w:vAlign w:val="center"/>
          </w:tcPr>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乔木修剪定期、整齐，整枝合理均匀；根据树木习性及时剥芽，修剪符合要求，树木通风透光良好，花灌木根据特性修剪及时、准确。草坪要适时进行修剪，保持一定高度，修剪面平整，边角无遗留，草屑及时扫尽运出。造型植物适时修剪，定期造型，满足景观要求。</w:t>
            </w:r>
          </w:p>
        </w:tc>
        <w:tc>
          <w:tcPr>
            <w:tcW w:w="640" w:type="dxa"/>
            <w:vAlign w:val="center"/>
          </w:tcPr>
          <w:p>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9</w:t>
            </w:r>
          </w:p>
        </w:tc>
        <w:tc>
          <w:tcPr>
            <w:tcW w:w="4500" w:type="dxa"/>
            <w:vAlign w:val="center"/>
          </w:tcPr>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各类乔木、大型花灌木不适时修剪的，扣0.5分/株；不按要求修剪，扣0.5分/处；草坪不及时修剪、修剪面不平，边角有遗留，扣0.5分/处；造型植物不及时修剪、质量不符合要求的扣0.5分/处。</w:t>
            </w:r>
          </w:p>
        </w:tc>
        <w:tc>
          <w:tcPr>
            <w:tcW w:w="655" w:type="dxa"/>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41" w:type="dxa"/>
            <w:vAlign w:val="center"/>
          </w:tcPr>
          <w:p>
            <w:pPr>
              <w:jc w:val="center"/>
              <w:rPr>
                <w:rFonts w:hint="eastAsia" w:ascii="宋体" w:hAnsi="宋体" w:cs="宋体"/>
                <w:b/>
                <w:bCs/>
                <w:spacing w:val="-6"/>
                <w:szCs w:val="21"/>
              </w:rPr>
            </w:pPr>
            <w:r>
              <w:rPr>
                <w:rFonts w:hint="eastAsia" w:ascii="宋体" w:hAnsi="宋体" w:cs="宋体"/>
                <w:b/>
                <w:bCs/>
                <w:spacing w:val="-6"/>
                <w:szCs w:val="21"/>
              </w:rPr>
              <w:t>养护管理</w:t>
            </w:r>
          </w:p>
        </w:tc>
        <w:tc>
          <w:tcPr>
            <w:tcW w:w="4121" w:type="dxa"/>
          </w:tcPr>
          <w:p>
            <w:pPr>
              <w:widowControl/>
              <w:adjustRightInd w:val="0"/>
              <w:snapToGrid w:val="0"/>
              <w:spacing w:line="240" w:lineRule="exact"/>
              <w:rPr>
                <w:rFonts w:hint="eastAsia" w:ascii="宋体" w:hAnsi="宋体" w:cs="宋体"/>
                <w:kern w:val="0"/>
                <w:szCs w:val="21"/>
              </w:rPr>
            </w:pPr>
            <w:r>
              <w:rPr>
                <w:rFonts w:hint="eastAsia" w:ascii="宋体" w:hAnsi="宋体" w:cs="宋体"/>
                <w:kern w:val="0"/>
                <w:szCs w:val="21"/>
              </w:rPr>
              <w:t>按规定养护内容和养护次数完成相应工作任务。</w:t>
            </w:r>
          </w:p>
        </w:tc>
        <w:tc>
          <w:tcPr>
            <w:tcW w:w="640" w:type="dxa"/>
            <w:vAlign w:val="center"/>
          </w:tcPr>
          <w:p>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8</w:t>
            </w:r>
          </w:p>
        </w:tc>
        <w:tc>
          <w:tcPr>
            <w:tcW w:w="4500" w:type="dxa"/>
            <w:vAlign w:val="center"/>
          </w:tcPr>
          <w:p>
            <w:pPr>
              <w:widowControl/>
              <w:adjustRightInd w:val="0"/>
              <w:snapToGrid w:val="0"/>
              <w:spacing w:line="240" w:lineRule="exact"/>
              <w:rPr>
                <w:rFonts w:hint="eastAsia" w:ascii="宋体" w:hAnsi="宋体" w:cs="宋体"/>
                <w:kern w:val="0"/>
                <w:szCs w:val="21"/>
              </w:rPr>
            </w:pPr>
            <w:r>
              <w:rPr>
                <w:rFonts w:hint="eastAsia" w:ascii="宋体" w:hAnsi="宋体" w:cs="宋体"/>
                <w:kern w:val="0"/>
                <w:szCs w:val="21"/>
              </w:rPr>
              <w:t>未按照养护内容和养护次数完成的，扣0.5分/项·次。</w:t>
            </w:r>
          </w:p>
        </w:tc>
        <w:tc>
          <w:tcPr>
            <w:tcW w:w="655" w:type="dxa"/>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641" w:type="dxa"/>
            <w:vAlign w:val="center"/>
          </w:tcPr>
          <w:p>
            <w:pPr>
              <w:jc w:val="center"/>
              <w:rPr>
                <w:rFonts w:hint="eastAsia" w:ascii="宋体" w:hAnsi="宋体" w:cs="宋体"/>
                <w:b/>
                <w:bCs/>
                <w:szCs w:val="21"/>
              </w:rPr>
            </w:pPr>
            <w:r>
              <w:rPr>
                <w:rFonts w:hint="eastAsia" w:ascii="宋体" w:hAnsi="宋体" w:cs="宋体"/>
                <w:b/>
                <w:bCs/>
                <w:spacing w:val="-6"/>
                <w:szCs w:val="21"/>
              </w:rPr>
              <w:t>组织管理及安全生产</w:t>
            </w:r>
          </w:p>
        </w:tc>
        <w:tc>
          <w:tcPr>
            <w:tcW w:w="4121" w:type="dxa"/>
          </w:tcPr>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1）对影响秩序或存在安全隐患的潜在问题要采取有效措施防控。及时处置有安全隐患、妨碍通行的树木；（2）每月初上报月度养护计划；（3）有相应的特殊天气状况及紧急事件的应急预案；（4）因园林绿化养护单位工作不力、措施不到位等原因，造成安全事故的，该项不得分；（5）各标段养护负责人保持24小时通信畅通。</w:t>
            </w:r>
          </w:p>
        </w:tc>
        <w:tc>
          <w:tcPr>
            <w:tcW w:w="640" w:type="dxa"/>
            <w:vAlign w:val="center"/>
          </w:tcPr>
          <w:p>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15</w:t>
            </w:r>
          </w:p>
        </w:tc>
        <w:tc>
          <w:tcPr>
            <w:tcW w:w="4500" w:type="dxa"/>
            <w:vAlign w:val="center"/>
          </w:tcPr>
          <w:p>
            <w:pPr>
              <w:widowControl/>
              <w:adjustRightInd w:val="0"/>
              <w:snapToGrid w:val="0"/>
              <w:spacing w:line="240" w:lineRule="exact"/>
              <w:rPr>
                <w:rFonts w:hint="eastAsia" w:ascii="宋体" w:hAnsi="宋体" w:cs="宋体"/>
                <w:kern w:val="0"/>
                <w:szCs w:val="21"/>
              </w:rPr>
            </w:pPr>
            <w:r>
              <w:rPr>
                <w:rFonts w:hint="eastAsia" w:ascii="宋体" w:hAnsi="宋体" w:cs="宋体"/>
                <w:kern w:val="0"/>
                <w:szCs w:val="21"/>
              </w:rPr>
              <w:t xml:space="preserve">每发现一处扣3分。 </w:t>
            </w:r>
          </w:p>
        </w:tc>
        <w:tc>
          <w:tcPr>
            <w:tcW w:w="655" w:type="dxa"/>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641" w:type="dxa"/>
            <w:vAlign w:val="center"/>
          </w:tcPr>
          <w:p>
            <w:pPr>
              <w:jc w:val="center"/>
              <w:rPr>
                <w:rFonts w:hint="eastAsia" w:ascii="宋体" w:hAnsi="宋体" w:cs="宋体"/>
                <w:b/>
                <w:bCs/>
                <w:spacing w:val="-6"/>
                <w:szCs w:val="21"/>
              </w:rPr>
            </w:pPr>
            <w:r>
              <w:rPr>
                <w:rFonts w:hint="eastAsia" w:ascii="宋体" w:hAnsi="宋体" w:cs="宋体"/>
                <w:b/>
                <w:bCs/>
                <w:spacing w:val="-6"/>
                <w:szCs w:val="21"/>
              </w:rPr>
              <w:t>工作完成情况</w:t>
            </w:r>
          </w:p>
        </w:tc>
        <w:tc>
          <w:tcPr>
            <w:tcW w:w="4121" w:type="dxa"/>
          </w:tcPr>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1）对甲方提出需要整改的问题，能按规定及时办结；（2）没有因新闻媒体曝光造成不良影响；（3）对上级交办的突击性工作和管护中的临时性工作能认真完成；（4）能按照要求完成月度工作计划及交办的月度重点任务；（5）人员按甲方要求及时到位。</w:t>
            </w:r>
          </w:p>
        </w:tc>
        <w:tc>
          <w:tcPr>
            <w:tcW w:w="640" w:type="dxa"/>
            <w:vAlign w:val="center"/>
          </w:tcPr>
          <w:p>
            <w:pPr>
              <w:widowControl/>
              <w:adjustRightInd w:val="0"/>
              <w:snapToGrid w:val="0"/>
              <w:spacing w:line="240" w:lineRule="exact"/>
              <w:jc w:val="center"/>
              <w:rPr>
                <w:rFonts w:hint="eastAsia" w:ascii="宋体" w:hAnsi="宋体" w:cs="宋体"/>
                <w:kern w:val="0"/>
                <w:szCs w:val="21"/>
              </w:rPr>
            </w:pPr>
            <w:r>
              <w:rPr>
                <w:rFonts w:hint="eastAsia" w:ascii="宋体" w:hAnsi="宋体" w:cs="宋体"/>
                <w:kern w:val="0"/>
                <w:szCs w:val="21"/>
              </w:rPr>
              <w:t>25</w:t>
            </w:r>
          </w:p>
        </w:tc>
        <w:tc>
          <w:tcPr>
            <w:tcW w:w="4500" w:type="dxa"/>
            <w:vAlign w:val="center"/>
          </w:tcPr>
          <w:p>
            <w:pPr>
              <w:widowControl/>
              <w:adjustRightInd w:val="0"/>
              <w:snapToGrid w:val="0"/>
              <w:spacing w:line="240" w:lineRule="exact"/>
              <w:jc w:val="left"/>
              <w:rPr>
                <w:rFonts w:hint="eastAsia" w:ascii="宋体" w:hAnsi="宋体" w:cs="宋体"/>
                <w:kern w:val="0"/>
                <w:szCs w:val="21"/>
              </w:rPr>
            </w:pPr>
            <w:r>
              <w:rPr>
                <w:rFonts w:hint="eastAsia" w:ascii="宋体" w:hAnsi="宋体" w:cs="宋体"/>
                <w:kern w:val="0"/>
                <w:szCs w:val="21"/>
              </w:rPr>
              <w:t>每发现一处扣3分。</w:t>
            </w:r>
          </w:p>
        </w:tc>
        <w:tc>
          <w:tcPr>
            <w:tcW w:w="655" w:type="dxa"/>
            <w:vAlign w:val="center"/>
          </w:tcPr>
          <w:p>
            <w:pPr>
              <w:widowControl/>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762" w:type="dxa"/>
            <w:gridSpan w:val="2"/>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640" w:type="dxa"/>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100</w:t>
            </w:r>
          </w:p>
        </w:tc>
        <w:tc>
          <w:tcPr>
            <w:tcW w:w="5155" w:type="dxa"/>
            <w:gridSpan w:val="2"/>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557" w:type="dxa"/>
            <w:gridSpan w:val="5"/>
            <w:tcBorders>
              <w:top w:val="single" w:color="auto" w:sz="4" w:space="0"/>
              <w:left w:val="nil"/>
              <w:bottom w:val="nil"/>
              <w:right w:val="nil"/>
            </w:tcBorders>
            <w:vAlign w:val="center"/>
          </w:tcPr>
          <w:p>
            <w:pPr>
              <w:adjustRightInd w:val="0"/>
              <w:snapToGrid w:val="0"/>
              <w:spacing w:line="480" w:lineRule="exact"/>
              <w:rPr>
                <w:rFonts w:hint="eastAsia" w:cs="宋体" w:asciiTheme="majorEastAsia" w:hAnsiTheme="majorEastAsia" w:eastAsiaTheme="majorEastAsia"/>
                <w:kern w:val="0"/>
                <w:sz w:val="24"/>
              </w:rPr>
            </w:pPr>
            <w:r>
              <w:rPr>
                <w:rFonts w:hint="eastAsia" w:asciiTheme="majorEastAsia" w:hAnsiTheme="majorEastAsia" w:eastAsiaTheme="majorEastAsia"/>
                <w:kern w:val="0"/>
                <w:sz w:val="24"/>
              </w:rPr>
              <w:t xml:space="preserve">考核人签字：          </w:t>
            </w:r>
            <w:r>
              <w:rPr>
                <w:rFonts w:hint="eastAsia" w:cs="宋体" w:asciiTheme="majorEastAsia" w:hAnsiTheme="majorEastAsia" w:eastAsiaTheme="majorEastAsia"/>
                <w:kern w:val="0"/>
                <w:sz w:val="24"/>
              </w:rPr>
              <w:t>日期：</w:t>
            </w:r>
            <w:r>
              <w:rPr>
                <w:rFonts w:hint="eastAsia" w:asciiTheme="majorEastAsia" w:hAnsiTheme="majorEastAsia" w:eastAsiaTheme="majorEastAsia"/>
                <w:kern w:val="0"/>
                <w:sz w:val="24"/>
              </w:rPr>
              <w:t xml:space="preserve">             </w:t>
            </w:r>
            <w:r>
              <w:rPr>
                <w:rFonts w:hint="eastAsia" w:cs="宋体" w:asciiTheme="majorEastAsia" w:hAnsiTheme="majorEastAsia" w:eastAsiaTheme="majorEastAsia"/>
                <w:kern w:val="0"/>
                <w:sz w:val="24"/>
              </w:rPr>
              <w:t xml:space="preserve">被考核人签字：              日期：            </w:t>
            </w:r>
          </w:p>
          <w:p>
            <w:pPr>
              <w:widowControl/>
              <w:jc w:val="center"/>
              <w:rPr>
                <w:rFonts w:hint="eastAsia" w:asciiTheme="majorEastAsia" w:hAnsiTheme="majorEastAsia" w:eastAsiaTheme="majorEastAsia"/>
                <w:sz w:val="24"/>
              </w:rPr>
            </w:pPr>
          </w:p>
          <w:p>
            <w:pPr>
              <w:widowControl/>
              <w:jc w:val="center"/>
              <w:rPr>
                <w:rFonts w:hint="eastAsia" w:asciiTheme="majorEastAsia" w:hAnsiTheme="majorEastAsia" w:eastAsiaTheme="majorEastAsia"/>
                <w:sz w:val="24"/>
              </w:rPr>
            </w:pPr>
          </w:p>
          <w:p>
            <w:pPr>
              <w:pStyle w:val="111"/>
              <w:numPr>
                <w:ilvl w:val="0"/>
                <w:numId w:val="2"/>
              </w:numPr>
              <w:adjustRightInd w:val="0"/>
              <w:snapToGrid w:val="0"/>
              <w:spacing w:line="440" w:lineRule="exact"/>
              <w:ind w:firstLineChars="0"/>
              <w:rPr>
                <w:rFonts w:hint="eastAsia" w:asciiTheme="majorEastAsia" w:hAnsiTheme="majorEastAsia" w:eastAsiaTheme="majorEastAsia"/>
              </w:rPr>
            </w:pPr>
            <w:r>
              <w:rPr>
                <w:rFonts w:hint="eastAsia" w:ascii="宋体" w:hAnsi="宋体" w:cs="宋体"/>
                <w:b/>
              </w:rPr>
              <w:t>绿植租摆需求</w:t>
            </w:r>
          </w:p>
          <w:p>
            <w:pPr>
              <w:tabs>
                <w:tab w:val="left" w:pos="1080"/>
              </w:tabs>
              <w:autoSpaceDE w:val="0"/>
              <w:autoSpaceDN w:val="0"/>
              <w:adjustRightInd w:val="0"/>
              <w:snapToGrid w:val="0"/>
              <w:spacing w:line="440" w:lineRule="exact"/>
              <w:ind w:firstLine="482" w:firstLineChars="200"/>
              <w:jc w:val="left"/>
              <w:rPr>
                <w:rFonts w:hint="eastAsia" w:cs="仿宋" w:asciiTheme="majorEastAsia" w:hAnsiTheme="majorEastAsia" w:eastAsiaTheme="majorEastAsia"/>
                <w:b/>
                <w:kern w:val="0"/>
                <w:sz w:val="24"/>
                <w:szCs w:val="24"/>
                <w:lang w:bidi="zh-CN"/>
              </w:rPr>
            </w:pPr>
            <w:r>
              <w:rPr>
                <w:rFonts w:hint="eastAsia" w:cs="仿宋" w:asciiTheme="majorEastAsia" w:hAnsiTheme="majorEastAsia" w:eastAsiaTheme="majorEastAsia"/>
                <w:b/>
                <w:kern w:val="0"/>
                <w:sz w:val="24"/>
                <w:szCs w:val="24"/>
              </w:rPr>
              <w:t>（一）绿植租摆内容</w:t>
            </w:r>
          </w:p>
          <w:p>
            <w:pPr>
              <w:adjustRightInd w:val="0"/>
              <w:snapToGrid w:val="0"/>
              <w:spacing w:line="440" w:lineRule="exact"/>
              <w:ind w:firstLine="482"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
                <w:kern w:val="0"/>
                <w:sz w:val="24"/>
                <w:szCs w:val="24"/>
              </w:rPr>
              <w:t>1、品种、规格</w:t>
            </w:r>
          </w:p>
          <w:p>
            <w:pPr>
              <w:adjustRightInd w:val="0"/>
              <w:snapToGrid w:val="0"/>
              <w:spacing w:line="440" w:lineRule="exact"/>
              <w:ind w:firstLine="482"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
                <w:kern w:val="0"/>
                <w:sz w:val="24"/>
                <w:szCs w:val="24"/>
              </w:rPr>
              <w:t>⑴特大型</w:t>
            </w:r>
            <w:r>
              <w:rPr>
                <w:rFonts w:hint="eastAsia" w:cs="仿宋" w:asciiTheme="majorEastAsia" w:hAnsiTheme="majorEastAsia" w:eastAsiaTheme="majorEastAsia"/>
                <w:bCs/>
                <w:kern w:val="0"/>
                <w:sz w:val="24"/>
                <w:szCs w:val="24"/>
              </w:rPr>
              <w:t xml:space="preserve">  </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规格：高度大于2.00米</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品种：铁树、棕竹、摇钱树、幸福树、榕树等</w:t>
            </w:r>
          </w:p>
          <w:p>
            <w:pPr>
              <w:adjustRightInd w:val="0"/>
              <w:snapToGrid w:val="0"/>
              <w:spacing w:line="440" w:lineRule="exact"/>
              <w:ind w:firstLine="482"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
                <w:kern w:val="0"/>
                <w:sz w:val="24"/>
                <w:szCs w:val="24"/>
              </w:rPr>
              <w:t>⑵大  型</w:t>
            </w:r>
            <w:r>
              <w:rPr>
                <w:rFonts w:hint="eastAsia" w:cs="仿宋" w:asciiTheme="majorEastAsia" w:hAnsiTheme="majorEastAsia" w:eastAsiaTheme="majorEastAsia"/>
                <w:bCs/>
                <w:kern w:val="0"/>
                <w:sz w:val="24"/>
                <w:szCs w:val="24"/>
              </w:rPr>
              <w:t xml:space="preserve">  </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规格：高度在1.50米至2.00米之间</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品种：棕竹、幸福树、龙须木、散尾葵、鸭脚木、绿萝等</w:t>
            </w:r>
          </w:p>
          <w:p>
            <w:pPr>
              <w:adjustRightInd w:val="0"/>
              <w:snapToGrid w:val="0"/>
              <w:spacing w:line="440" w:lineRule="exact"/>
              <w:ind w:firstLine="482"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
                <w:kern w:val="0"/>
                <w:sz w:val="24"/>
                <w:szCs w:val="24"/>
              </w:rPr>
              <w:t xml:space="preserve">⑶中  型 </w:t>
            </w:r>
            <w:r>
              <w:rPr>
                <w:rFonts w:hint="eastAsia" w:cs="仿宋" w:asciiTheme="majorEastAsia" w:hAnsiTheme="majorEastAsia" w:eastAsiaTheme="majorEastAsia"/>
                <w:bCs/>
                <w:kern w:val="0"/>
                <w:sz w:val="24"/>
                <w:szCs w:val="24"/>
              </w:rPr>
              <w:t xml:space="preserve"> </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规格：高度在0.80米至1.50米之间</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品种：棕竹、幸福树、龙须木、螺丝铁等</w:t>
            </w:r>
          </w:p>
          <w:p>
            <w:pPr>
              <w:adjustRightInd w:val="0"/>
              <w:snapToGrid w:val="0"/>
              <w:spacing w:line="440" w:lineRule="exact"/>
              <w:ind w:firstLine="482"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
                <w:kern w:val="0"/>
                <w:sz w:val="24"/>
                <w:szCs w:val="24"/>
              </w:rPr>
              <w:t>⑷小  型</w:t>
            </w:r>
            <w:r>
              <w:rPr>
                <w:rFonts w:hint="eastAsia" w:cs="仿宋" w:asciiTheme="majorEastAsia" w:hAnsiTheme="majorEastAsia" w:eastAsiaTheme="majorEastAsia"/>
                <w:bCs/>
                <w:kern w:val="0"/>
                <w:sz w:val="24"/>
                <w:szCs w:val="24"/>
              </w:rPr>
              <w:t xml:space="preserve">  </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规格：高度0.50米以下</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品种：吊绿萝、银皇后、小椰子、银边铁、孔雀竹芋、一帆风顺等</w:t>
            </w:r>
          </w:p>
          <w:p>
            <w:pPr>
              <w:adjustRightInd w:val="0"/>
              <w:snapToGrid w:val="0"/>
              <w:spacing w:line="440" w:lineRule="exact"/>
              <w:ind w:firstLine="482" w:firstLineChars="200"/>
              <w:jc w:val="left"/>
              <w:rPr>
                <w:rFonts w:hint="eastAsia" w:cs="仿宋" w:asciiTheme="majorEastAsia" w:hAnsiTheme="majorEastAsia" w:eastAsiaTheme="majorEastAsia"/>
                <w:b/>
                <w:kern w:val="0"/>
                <w:sz w:val="24"/>
                <w:szCs w:val="24"/>
              </w:rPr>
            </w:pPr>
            <w:r>
              <w:rPr>
                <w:rFonts w:hint="eastAsia" w:cs="仿宋" w:asciiTheme="majorEastAsia" w:hAnsiTheme="majorEastAsia" w:eastAsiaTheme="majorEastAsia"/>
                <w:b/>
                <w:kern w:val="0"/>
                <w:sz w:val="24"/>
                <w:szCs w:val="24"/>
              </w:rPr>
              <w:t>(5)特大型组合盆栽</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主要为铁树、榕树、罗汉松等；</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下部配合：茶花、茶梅、杜鹃、海棠、红掌、凤梨、常春藤、吊绿萝等花卉及观叶植物</w:t>
            </w:r>
          </w:p>
          <w:p>
            <w:pPr>
              <w:adjustRightInd w:val="0"/>
              <w:snapToGrid w:val="0"/>
              <w:spacing w:line="440" w:lineRule="exact"/>
              <w:ind w:firstLine="482"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
                <w:kern w:val="0"/>
                <w:sz w:val="24"/>
                <w:szCs w:val="24"/>
              </w:rPr>
              <w:t>(6)大盆花卉</w:t>
            </w:r>
            <w:r>
              <w:rPr>
                <w:rFonts w:hint="eastAsia" w:cs="仿宋" w:asciiTheme="majorEastAsia" w:hAnsiTheme="majorEastAsia" w:eastAsiaTheme="majorEastAsia"/>
                <w:bCs/>
                <w:kern w:val="0"/>
                <w:sz w:val="24"/>
                <w:szCs w:val="24"/>
              </w:rPr>
              <w:t xml:space="preserve"> </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规格：直径80mm以上（供室外摆放造型，严寒酷暑、恶劣天气情况除外）</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品种：茶花、茶梅、杜鹃、彩叶草、五色梅、绣球等</w:t>
            </w:r>
          </w:p>
          <w:p>
            <w:pPr>
              <w:adjustRightInd w:val="0"/>
              <w:snapToGrid w:val="0"/>
              <w:spacing w:line="440" w:lineRule="exact"/>
              <w:ind w:firstLine="482"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
                <w:kern w:val="0"/>
                <w:sz w:val="24"/>
                <w:szCs w:val="24"/>
              </w:rPr>
              <w:t>(7)小盆花卉</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规格：直径20-30cm（供室外摆放造型，严寒酷暑、恶劣天气情况除外）</w:t>
            </w:r>
          </w:p>
          <w:p>
            <w:pPr>
              <w:adjustRightInd w:val="0"/>
              <w:snapToGrid w:val="0"/>
              <w:spacing w:line="440" w:lineRule="exact"/>
              <w:ind w:firstLine="480" w:firstLineChars="200"/>
              <w:jc w:val="left"/>
              <w:rPr>
                <w:rFonts w:hint="eastAsia" w:cs="仿宋" w:asciiTheme="majorEastAsia" w:hAnsiTheme="majorEastAsia" w:eastAsiaTheme="majorEastAsia"/>
                <w:bCs/>
                <w:kern w:val="0"/>
                <w:sz w:val="24"/>
                <w:szCs w:val="24"/>
              </w:rPr>
            </w:pPr>
            <w:r>
              <w:rPr>
                <w:rFonts w:hint="eastAsia" w:cs="仿宋" w:asciiTheme="majorEastAsia" w:hAnsiTheme="majorEastAsia" w:eastAsiaTheme="majorEastAsia"/>
                <w:bCs/>
                <w:kern w:val="0"/>
                <w:sz w:val="24"/>
                <w:szCs w:val="24"/>
              </w:rPr>
              <w:t>品种：红掌、凤梨、杜鹃、龙船花、海棠、一串红、孔雀草、彩雀花、凤仙等</w:t>
            </w:r>
          </w:p>
          <w:p>
            <w:pPr>
              <w:adjustRightInd w:val="0"/>
              <w:snapToGrid w:val="0"/>
              <w:spacing w:line="440" w:lineRule="exact"/>
              <w:ind w:firstLine="482" w:firstLineChars="200"/>
              <w:jc w:val="left"/>
              <w:rPr>
                <w:rFonts w:hint="eastAsia" w:cs="仿宋" w:asciiTheme="majorEastAsia" w:hAnsiTheme="majorEastAsia" w:eastAsiaTheme="majorEastAsia"/>
                <w:b/>
                <w:kern w:val="0"/>
                <w:sz w:val="24"/>
                <w:szCs w:val="24"/>
              </w:rPr>
            </w:pPr>
            <w:r>
              <w:rPr>
                <w:rFonts w:hint="eastAsia" w:cs="仿宋" w:asciiTheme="majorEastAsia" w:hAnsiTheme="majorEastAsia" w:eastAsiaTheme="majorEastAsia"/>
                <w:b/>
                <w:kern w:val="0"/>
                <w:sz w:val="24"/>
                <w:szCs w:val="24"/>
              </w:rPr>
              <w:t>2、绿植租摆定位表</w:t>
            </w:r>
          </w:p>
          <w:tbl>
            <w:tblPr>
              <w:tblStyle w:val="50"/>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437"/>
              <w:gridCol w:w="1860"/>
              <w:gridCol w:w="108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2017" w:type="dxa"/>
                  <w:vAlign w:val="center"/>
                </w:tcPr>
                <w:p>
                  <w:pPr>
                    <w:tabs>
                      <w:tab w:val="left" w:pos="6120"/>
                    </w:tabs>
                    <w:spacing w:line="500" w:lineRule="exact"/>
                    <w:jc w:val="center"/>
                    <w:rPr>
                      <w:rFonts w:hint="eastAsia" w:ascii="宋体" w:hAnsi="宋体" w:cs="宋体"/>
                      <w:b/>
                      <w:szCs w:val="21"/>
                    </w:rPr>
                  </w:pPr>
                  <w:r>
                    <w:rPr>
                      <w:rFonts w:hint="eastAsia" w:ascii="宋体" w:hAnsi="宋体" w:cs="宋体"/>
                      <w:b/>
                      <w:szCs w:val="21"/>
                    </w:rPr>
                    <w:t>位 置</w:t>
                  </w:r>
                </w:p>
              </w:tc>
              <w:tc>
                <w:tcPr>
                  <w:tcW w:w="2437" w:type="dxa"/>
                  <w:vAlign w:val="center"/>
                </w:tcPr>
                <w:p>
                  <w:pPr>
                    <w:tabs>
                      <w:tab w:val="left" w:pos="6120"/>
                    </w:tabs>
                    <w:spacing w:line="500" w:lineRule="exact"/>
                    <w:jc w:val="center"/>
                    <w:rPr>
                      <w:rFonts w:hint="eastAsia" w:ascii="宋体" w:hAnsi="宋体" w:cs="宋体"/>
                      <w:b/>
                      <w:szCs w:val="21"/>
                    </w:rPr>
                  </w:pPr>
                  <w:r>
                    <w:rPr>
                      <w:rFonts w:hint="eastAsia" w:ascii="宋体" w:hAnsi="宋体" w:cs="宋体"/>
                      <w:b/>
                      <w:szCs w:val="21"/>
                    </w:rPr>
                    <w:t>摆放地点</w:t>
                  </w:r>
                </w:p>
              </w:tc>
              <w:tc>
                <w:tcPr>
                  <w:tcW w:w="1860" w:type="dxa"/>
                  <w:vAlign w:val="center"/>
                </w:tcPr>
                <w:p>
                  <w:pPr>
                    <w:tabs>
                      <w:tab w:val="left" w:pos="6120"/>
                    </w:tabs>
                    <w:spacing w:line="500" w:lineRule="exact"/>
                    <w:jc w:val="center"/>
                    <w:rPr>
                      <w:rFonts w:hint="eastAsia" w:ascii="宋体" w:hAnsi="宋体" w:cs="宋体"/>
                      <w:b/>
                      <w:szCs w:val="21"/>
                    </w:rPr>
                  </w:pPr>
                  <w:r>
                    <w:rPr>
                      <w:rFonts w:hint="eastAsia" w:ascii="宋体" w:hAnsi="宋体" w:cs="宋体"/>
                      <w:b/>
                      <w:spacing w:val="-20"/>
                      <w:szCs w:val="21"/>
                    </w:rPr>
                    <w:t>规  格</w:t>
                  </w:r>
                </w:p>
              </w:tc>
              <w:tc>
                <w:tcPr>
                  <w:tcW w:w="1080" w:type="dxa"/>
                  <w:vAlign w:val="center"/>
                </w:tcPr>
                <w:p>
                  <w:pPr>
                    <w:tabs>
                      <w:tab w:val="left" w:pos="6120"/>
                    </w:tabs>
                    <w:spacing w:line="500" w:lineRule="exact"/>
                    <w:jc w:val="center"/>
                    <w:rPr>
                      <w:rFonts w:hint="eastAsia" w:ascii="宋体" w:hAnsi="宋体" w:cs="宋体"/>
                      <w:b/>
                      <w:szCs w:val="21"/>
                    </w:rPr>
                  </w:pPr>
                  <w:r>
                    <w:rPr>
                      <w:rFonts w:hint="eastAsia" w:ascii="宋体" w:hAnsi="宋体" w:cs="宋体"/>
                      <w:b/>
                      <w:szCs w:val="21"/>
                    </w:rPr>
                    <w:t>数 量</w:t>
                  </w:r>
                </w:p>
              </w:tc>
              <w:tc>
                <w:tcPr>
                  <w:tcW w:w="2250" w:type="dxa"/>
                  <w:vAlign w:val="center"/>
                </w:tcPr>
                <w:p>
                  <w:pPr>
                    <w:tabs>
                      <w:tab w:val="left" w:pos="6120"/>
                    </w:tabs>
                    <w:spacing w:line="500" w:lineRule="exact"/>
                    <w:jc w:val="center"/>
                    <w:rPr>
                      <w:rFonts w:hint="eastAsia" w:ascii="宋体" w:hAnsi="宋体" w:cs="宋体"/>
                      <w:b/>
                      <w:szCs w:val="21"/>
                    </w:rPr>
                  </w:pPr>
                  <w:r>
                    <w:rPr>
                      <w:rFonts w:hint="eastAsia" w:ascii="宋体" w:hAnsi="宋体" w:cs="宋体"/>
                      <w:b/>
                      <w:szCs w:val="21"/>
                    </w:rPr>
                    <w:t>租摆期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400" w:lineRule="exact"/>
                    <w:jc w:val="left"/>
                    <w:rPr>
                      <w:rFonts w:hint="eastAsia" w:ascii="宋体" w:hAnsi="宋体" w:cs="宋体"/>
                      <w:szCs w:val="21"/>
                    </w:rPr>
                  </w:pPr>
                  <w:r>
                    <w:rPr>
                      <w:rFonts w:hint="eastAsia" w:ascii="宋体" w:hAnsi="宋体" w:cs="宋体"/>
                      <w:szCs w:val="21"/>
                    </w:rPr>
                    <w:t>近代馆总序厅门口、当代馆门口、室外钢琴屏北侧</w:t>
                  </w:r>
                </w:p>
              </w:tc>
              <w:tc>
                <w:tcPr>
                  <w:tcW w:w="2437" w:type="dxa"/>
                  <w:vMerge w:val="restart"/>
                  <w:vAlign w:val="center"/>
                </w:tcPr>
                <w:p>
                  <w:pPr>
                    <w:tabs>
                      <w:tab w:val="left" w:pos="6120"/>
                    </w:tabs>
                    <w:spacing w:line="400" w:lineRule="exact"/>
                    <w:jc w:val="left"/>
                    <w:rPr>
                      <w:rFonts w:hint="eastAsia" w:ascii="宋体" w:hAnsi="宋体" w:cs="宋体"/>
                      <w:szCs w:val="21"/>
                    </w:rPr>
                  </w:pPr>
                  <w:r>
                    <w:rPr>
                      <w:rFonts w:hint="eastAsia" w:ascii="宋体" w:hAnsi="宋体" w:cs="宋体"/>
                      <w:szCs w:val="21"/>
                    </w:rPr>
                    <w:t>近代馆总序厅门口、当代馆门口、室外钢琴屏北侧</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特大型组合盆栽</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6</w:t>
                  </w:r>
                </w:p>
              </w:tc>
              <w:tc>
                <w:tcPr>
                  <w:tcW w:w="2250" w:type="dxa"/>
                  <w:vMerge w:val="restart"/>
                  <w:vAlign w:val="center"/>
                </w:tcPr>
                <w:p>
                  <w:pPr>
                    <w:tabs>
                      <w:tab w:val="left" w:pos="6120"/>
                    </w:tabs>
                    <w:spacing w:line="400" w:lineRule="exact"/>
                    <w:jc w:val="left"/>
                    <w:rPr>
                      <w:rFonts w:hint="eastAsia" w:ascii="宋体" w:hAnsi="宋体" w:cs="宋体"/>
                      <w:b/>
                      <w:szCs w:val="21"/>
                    </w:rPr>
                  </w:pPr>
                  <w:r>
                    <w:rPr>
                      <w:rFonts w:hint="eastAsia" w:ascii="宋体" w:hAnsi="宋体" w:cs="宋体"/>
                      <w:bCs/>
                      <w:snapToGrid w:val="0"/>
                      <w:kern w:val="0"/>
                      <w:szCs w:val="21"/>
                      <w:lang w:val="zh-CN" w:bidi="zh-CN"/>
                    </w:rPr>
                    <w:t>春节、五一、国庆</w:t>
                  </w:r>
                  <w:r>
                    <w:rPr>
                      <w:rFonts w:hint="eastAsia" w:ascii="宋体" w:hAnsi="宋体" w:cs="宋体"/>
                      <w:szCs w:val="21"/>
                    </w:rPr>
                    <w:t>三个法定节日各一周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b/>
                      <w:szCs w:val="21"/>
                    </w:rPr>
                  </w:pPr>
                </w:p>
              </w:tc>
              <w:tc>
                <w:tcPr>
                  <w:tcW w:w="2437" w:type="dxa"/>
                  <w:vMerge w:val="continue"/>
                  <w:vAlign w:val="center"/>
                </w:tcPr>
                <w:p>
                  <w:pPr>
                    <w:tabs>
                      <w:tab w:val="left" w:pos="6120"/>
                    </w:tabs>
                    <w:spacing w:line="500" w:lineRule="exact"/>
                    <w:jc w:val="center"/>
                    <w:rPr>
                      <w:rFonts w:hint="eastAsia" w:ascii="宋体" w:hAnsi="宋体" w:cs="宋体"/>
                      <w:b/>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30</w:t>
                  </w:r>
                </w:p>
              </w:tc>
              <w:tc>
                <w:tcPr>
                  <w:tcW w:w="2250" w:type="dxa"/>
                  <w:vMerge w:val="continue"/>
                  <w:vAlign w:val="center"/>
                </w:tcPr>
                <w:p>
                  <w:pPr>
                    <w:tabs>
                      <w:tab w:val="left" w:pos="6120"/>
                    </w:tabs>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b/>
                      <w:szCs w:val="21"/>
                    </w:rPr>
                  </w:pPr>
                </w:p>
              </w:tc>
              <w:tc>
                <w:tcPr>
                  <w:tcW w:w="2437" w:type="dxa"/>
                  <w:vMerge w:val="continue"/>
                  <w:vAlign w:val="center"/>
                </w:tcPr>
                <w:p>
                  <w:pPr>
                    <w:tabs>
                      <w:tab w:val="left" w:pos="6120"/>
                    </w:tabs>
                    <w:spacing w:line="500" w:lineRule="exact"/>
                    <w:jc w:val="center"/>
                    <w:rPr>
                      <w:rFonts w:hint="eastAsia" w:ascii="宋体" w:hAnsi="宋体" w:cs="宋体"/>
                      <w:b/>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大盆花卉</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30</w:t>
                  </w:r>
                </w:p>
              </w:tc>
              <w:tc>
                <w:tcPr>
                  <w:tcW w:w="2250" w:type="dxa"/>
                  <w:vMerge w:val="continue"/>
                  <w:vAlign w:val="center"/>
                </w:tcPr>
                <w:p>
                  <w:pPr>
                    <w:tabs>
                      <w:tab w:val="left" w:pos="6120"/>
                    </w:tabs>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b/>
                      <w:szCs w:val="21"/>
                    </w:rPr>
                  </w:pPr>
                </w:p>
              </w:tc>
              <w:tc>
                <w:tcPr>
                  <w:tcW w:w="2437" w:type="dxa"/>
                  <w:vMerge w:val="continue"/>
                  <w:vAlign w:val="center"/>
                </w:tcPr>
                <w:p>
                  <w:pPr>
                    <w:tabs>
                      <w:tab w:val="left" w:pos="6120"/>
                    </w:tabs>
                    <w:spacing w:line="500" w:lineRule="exact"/>
                    <w:jc w:val="center"/>
                    <w:rPr>
                      <w:rFonts w:hint="eastAsia" w:ascii="宋体" w:hAnsi="宋体" w:cs="宋体"/>
                      <w:b/>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小盆花卉</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400</w:t>
                  </w:r>
                </w:p>
              </w:tc>
              <w:tc>
                <w:tcPr>
                  <w:tcW w:w="2250" w:type="dxa"/>
                  <w:vMerge w:val="continue"/>
                  <w:vAlign w:val="center"/>
                </w:tcPr>
                <w:p>
                  <w:pPr>
                    <w:tabs>
                      <w:tab w:val="left" w:pos="6120"/>
                    </w:tabs>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伶工学社</w:t>
                  </w:r>
                </w:p>
              </w:tc>
              <w:tc>
                <w:tcPr>
                  <w:tcW w:w="2437" w:type="dxa"/>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大盆花卉</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10</w:t>
                  </w:r>
                </w:p>
              </w:tc>
              <w:tc>
                <w:tcPr>
                  <w:tcW w:w="2250" w:type="dxa"/>
                  <w:vMerge w:val="continue"/>
                  <w:vAlign w:val="center"/>
                </w:tcPr>
                <w:p>
                  <w:pPr>
                    <w:tabs>
                      <w:tab w:val="left" w:pos="6120"/>
                    </w:tabs>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ascii="宋体" w:hAnsi="宋体" w:cs="宋体"/>
                      <w:b/>
                      <w:szCs w:val="21"/>
                    </w:rPr>
                  </w:pPr>
                  <w:r>
                    <w:rPr>
                      <w:rFonts w:hint="eastAsia" w:ascii="宋体" w:hAnsi="宋体" w:cs="宋体"/>
                      <w:szCs w:val="21"/>
                    </w:rPr>
                    <w:t>古代馆一楼</w:t>
                  </w:r>
                </w:p>
              </w:tc>
              <w:tc>
                <w:tcPr>
                  <w:tcW w:w="2437"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门厅</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3</w:t>
                  </w:r>
                </w:p>
              </w:tc>
              <w:tc>
                <w:tcPr>
                  <w:tcW w:w="225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b/>
                      <w:szCs w:val="21"/>
                    </w:rPr>
                  </w:pPr>
                </w:p>
              </w:tc>
              <w:tc>
                <w:tcPr>
                  <w:tcW w:w="243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各展厅</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5</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b/>
                      <w:szCs w:val="21"/>
                    </w:rPr>
                  </w:pPr>
                </w:p>
              </w:tc>
              <w:tc>
                <w:tcPr>
                  <w:tcW w:w="2437" w:type="dxa"/>
                  <w:vMerge w:val="continue"/>
                  <w:vAlign w:val="center"/>
                </w:tcPr>
                <w:p>
                  <w:pPr>
                    <w:tabs>
                      <w:tab w:val="left" w:pos="6120"/>
                    </w:tabs>
                    <w:spacing w:line="500" w:lineRule="exact"/>
                    <w:jc w:val="center"/>
                    <w:rPr>
                      <w:rFonts w:hint="eastAsia" w:ascii="宋体" w:hAnsi="宋体" w:cs="宋体"/>
                      <w:b/>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18</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古代馆二楼</w:t>
                  </w:r>
                </w:p>
              </w:tc>
              <w:tc>
                <w:tcPr>
                  <w:tcW w:w="243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各展厅</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5</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20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近代馆一楼</w:t>
                  </w:r>
                </w:p>
              </w:tc>
              <w:tc>
                <w:tcPr>
                  <w:tcW w:w="2437"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门厅</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特大型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2</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各展厅</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20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10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小型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60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近代馆二楼</w:t>
                  </w:r>
                </w:p>
              </w:tc>
              <w:tc>
                <w:tcPr>
                  <w:tcW w:w="243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各展厅</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20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15</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小型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10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城南别业</w:t>
                  </w:r>
                </w:p>
              </w:tc>
              <w:tc>
                <w:tcPr>
                  <w:tcW w:w="2437"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西出入口</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2</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一楼、二楼走廊</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20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当代馆一楼</w:t>
                  </w:r>
                </w:p>
              </w:tc>
              <w:tc>
                <w:tcPr>
                  <w:tcW w:w="2437"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门厅</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特大型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2</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各展厅</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6</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70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小型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10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当代馆二楼</w:t>
                  </w:r>
                </w:p>
              </w:tc>
              <w:tc>
                <w:tcPr>
                  <w:tcW w:w="243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各展厅</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6</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70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小型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10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当代馆三楼</w:t>
                  </w:r>
                </w:p>
              </w:tc>
              <w:tc>
                <w:tcPr>
                  <w:tcW w:w="243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东侧各展厅</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3</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70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小型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10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中间休息区</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2</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西侧各展厅</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3</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80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ascii="宋体" w:hAnsi="宋体" w:cs="宋体"/>
                      <w:szCs w:val="21"/>
                    </w:rPr>
                  </w:pPr>
                </w:p>
              </w:tc>
              <w:tc>
                <w:tcPr>
                  <w:tcW w:w="2437" w:type="dxa"/>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小型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10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454" w:type="dxa"/>
                  <w:gridSpan w:val="2"/>
                  <w:vAlign w:val="center"/>
                </w:tcPr>
                <w:p>
                  <w:pPr>
                    <w:tabs>
                      <w:tab w:val="left" w:pos="6120"/>
                    </w:tabs>
                    <w:spacing w:line="500" w:lineRule="exact"/>
                    <w:rPr>
                      <w:rFonts w:hint="eastAsia" w:ascii="宋体" w:hAnsi="宋体" w:cs="宋体"/>
                      <w:szCs w:val="21"/>
                    </w:rPr>
                  </w:pPr>
                  <w:r>
                    <w:rPr>
                      <w:rFonts w:hint="eastAsia" w:ascii="宋体" w:hAnsi="宋体" w:cs="宋体"/>
                      <w:szCs w:val="21"/>
                    </w:rPr>
                    <w:t>当代馆四楼</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10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454" w:type="dxa"/>
                  <w:gridSpan w:val="2"/>
                  <w:vMerge w:val="restart"/>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合计</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150小型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110</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454" w:type="dxa"/>
                  <w:gridSpan w:val="2"/>
                  <w:vMerge w:val="continue"/>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150</w:t>
                  </w: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376中型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385</w:t>
                  </w:r>
                </w:p>
                <w:p>
                  <w:pPr>
                    <w:tabs>
                      <w:tab w:val="left" w:pos="6120"/>
                    </w:tabs>
                    <w:spacing w:line="500" w:lineRule="exact"/>
                    <w:jc w:val="center"/>
                    <w:rPr>
                      <w:rFonts w:hint="eastAsia" w:ascii="宋体" w:hAnsi="宋体" w:cs="宋体"/>
                      <w:szCs w:val="21"/>
                    </w:rPr>
                  </w:pP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454" w:type="dxa"/>
                  <w:gridSpan w:val="2"/>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69大型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73</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454" w:type="dxa"/>
                  <w:gridSpan w:val="2"/>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特大型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4</w:t>
                  </w:r>
                </w:p>
              </w:tc>
              <w:tc>
                <w:tcPr>
                  <w:tcW w:w="2250" w:type="dxa"/>
                </w:tcPr>
                <w:p>
                  <w:pPr>
                    <w:spacing w:line="500" w:lineRule="exact"/>
                    <w:jc w:val="center"/>
                    <w:rPr>
                      <w:rFonts w:hint="eastAsia" w:ascii="宋体" w:hAnsi="宋体" w:cs="宋体"/>
                      <w:szCs w:val="21"/>
                    </w:rPr>
                  </w:pPr>
                  <w:r>
                    <w:rPr>
                      <w:rFonts w:hint="eastAsia" w:ascii="宋体" w:hAnsi="宋体" w:cs="宋体"/>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454" w:type="dxa"/>
                  <w:gridSpan w:val="2"/>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特大型组合盆栽</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6</w:t>
                  </w:r>
                </w:p>
              </w:tc>
              <w:tc>
                <w:tcPr>
                  <w:tcW w:w="225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节日用花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454" w:type="dxa"/>
                  <w:gridSpan w:val="2"/>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中型</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30</w:t>
                  </w:r>
                </w:p>
              </w:tc>
              <w:tc>
                <w:tcPr>
                  <w:tcW w:w="225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节日用花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454" w:type="dxa"/>
                  <w:gridSpan w:val="2"/>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大盆花卉</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40</w:t>
                  </w:r>
                </w:p>
              </w:tc>
              <w:tc>
                <w:tcPr>
                  <w:tcW w:w="225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节日用花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454" w:type="dxa"/>
                  <w:gridSpan w:val="2"/>
                  <w:vMerge w:val="continue"/>
                  <w:vAlign w:val="center"/>
                </w:tcPr>
                <w:p>
                  <w:pPr>
                    <w:tabs>
                      <w:tab w:val="left" w:pos="6120"/>
                    </w:tabs>
                    <w:spacing w:line="500" w:lineRule="exact"/>
                    <w:jc w:val="center"/>
                    <w:rPr>
                      <w:rFonts w:hint="eastAsia" w:ascii="宋体" w:hAnsi="宋体" w:cs="宋体"/>
                      <w:szCs w:val="21"/>
                    </w:rPr>
                  </w:pPr>
                </w:p>
              </w:tc>
              <w:tc>
                <w:tcPr>
                  <w:tcW w:w="1860" w:type="dxa"/>
                  <w:vAlign w:val="center"/>
                </w:tcPr>
                <w:p>
                  <w:pPr>
                    <w:tabs>
                      <w:tab w:val="left" w:pos="6120"/>
                    </w:tabs>
                    <w:spacing w:line="500" w:lineRule="exact"/>
                    <w:jc w:val="center"/>
                    <w:rPr>
                      <w:rFonts w:hint="eastAsia" w:ascii="宋体" w:hAnsi="宋体" w:cs="宋体"/>
                      <w:spacing w:val="-20"/>
                      <w:szCs w:val="21"/>
                    </w:rPr>
                  </w:pPr>
                  <w:r>
                    <w:rPr>
                      <w:rFonts w:hint="eastAsia" w:ascii="宋体" w:hAnsi="宋体" w:cs="宋体"/>
                      <w:spacing w:val="-20"/>
                      <w:szCs w:val="21"/>
                    </w:rPr>
                    <w:t>90小盆花卉</w:t>
                  </w:r>
                </w:p>
              </w:tc>
              <w:tc>
                <w:tcPr>
                  <w:tcW w:w="108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400</w:t>
                  </w:r>
                </w:p>
              </w:tc>
              <w:tc>
                <w:tcPr>
                  <w:tcW w:w="2250" w:type="dxa"/>
                  <w:vAlign w:val="center"/>
                </w:tcPr>
                <w:p>
                  <w:pPr>
                    <w:tabs>
                      <w:tab w:val="left" w:pos="6120"/>
                    </w:tabs>
                    <w:spacing w:line="500" w:lineRule="exact"/>
                    <w:jc w:val="center"/>
                    <w:rPr>
                      <w:rFonts w:hint="eastAsia" w:ascii="宋体" w:hAnsi="宋体" w:cs="宋体"/>
                      <w:szCs w:val="21"/>
                    </w:rPr>
                  </w:pPr>
                  <w:r>
                    <w:rPr>
                      <w:rFonts w:hint="eastAsia" w:ascii="宋体" w:hAnsi="宋体" w:cs="宋体"/>
                      <w:szCs w:val="21"/>
                    </w:rPr>
                    <w:t>节日用花</w:t>
                  </w:r>
                </w:p>
              </w:tc>
            </w:tr>
          </w:tbl>
          <w:p>
            <w:pPr>
              <w:adjustRightInd w:val="0"/>
              <w:snapToGrid w:val="0"/>
              <w:spacing w:line="440" w:lineRule="exact"/>
              <w:ind w:firstLine="482" w:firstLineChars="200"/>
              <w:rPr>
                <w:rFonts w:hint="eastAsia" w:cs="仿宋" w:asciiTheme="majorEastAsia" w:hAnsiTheme="majorEastAsia" w:eastAsiaTheme="majorEastAsia"/>
                <w:b/>
                <w:bCs/>
                <w:kern w:val="0"/>
                <w:sz w:val="24"/>
                <w:szCs w:val="24"/>
              </w:rPr>
            </w:pPr>
            <w:r>
              <w:rPr>
                <w:rFonts w:hint="eastAsia" w:cs="仿宋" w:asciiTheme="majorEastAsia" w:hAnsiTheme="majorEastAsia" w:eastAsiaTheme="majorEastAsia"/>
                <w:b/>
                <w:bCs/>
                <w:kern w:val="0"/>
                <w:sz w:val="24"/>
                <w:szCs w:val="24"/>
              </w:rPr>
              <w:t>（二）绿植租摆养护及更换标准</w:t>
            </w:r>
          </w:p>
          <w:p>
            <w:pPr>
              <w:adjustRightInd w:val="0"/>
              <w:snapToGrid w:val="0"/>
              <w:spacing w:line="440" w:lineRule="exact"/>
              <w:ind w:firstLine="480" w:firstLineChars="200"/>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1、由中标方专业人员负责定期对植物进行现场养护，根据摆放植物的特征定期进行浇水、施肥、培育、修剪及病虫害防治，做到无病虫害、叶面无尘土、无枯枝、无黄叶。</w:t>
            </w:r>
          </w:p>
          <w:p>
            <w:pPr>
              <w:adjustRightInd w:val="0"/>
              <w:snapToGrid w:val="0"/>
              <w:spacing w:line="440" w:lineRule="exact"/>
              <w:ind w:firstLine="480" w:firstLineChars="200"/>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2、摆放植物生长状况良好，枝叶繁茂、形态饱满。对长势不良、枯萎、失去观赏价值的植物及时进行更换。</w:t>
            </w:r>
          </w:p>
          <w:p>
            <w:pPr>
              <w:adjustRightInd w:val="0"/>
              <w:snapToGrid w:val="0"/>
              <w:spacing w:line="440" w:lineRule="exact"/>
              <w:ind w:firstLine="480" w:firstLineChars="200"/>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3、花盆外侧四周无泥土，垫盆无积水。</w:t>
            </w:r>
          </w:p>
          <w:p>
            <w:pPr>
              <w:adjustRightInd w:val="0"/>
              <w:snapToGrid w:val="0"/>
              <w:spacing w:line="440" w:lineRule="exact"/>
              <w:ind w:firstLine="480" w:firstLineChars="200"/>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4、植物的更换根据季节的变化，选择的品种也会有所变化，但中标方更换的植物品种必须经招标方同意后方可更换。</w:t>
            </w:r>
          </w:p>
          <w:p>
            <w:pPr>
              <w:adjustRightInd w:val="0"/>
              <w:snapToGrid w:val="0"/>
              <w:spacing w:line="440" w:lineRule="exact"/>
              <w:ind w:firstLine="480" w:firstLineChars="200"/>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5、植物上无尘土。</w:t>
            </w:r>
          </w:p>
          <w:p>
            <w:pPr>
              <w:adjustRightInd w:val="0"/>
              <w:snapToGrid w:val="0"/>
              <w:spacing w:line="440" w:lineRule="exact"/>
              <w:ind w:firstLine="480" w:firstLineChars="200"/>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6、做到每周至少上门服务2次，保证植物生长良好。</w:t>
            </w:r>
          </w:p>
          <w:p>
            <w:pPr>
              <w:adjustRightInd w:val="0"/>
              <w:snapToGrid w:val="0"/>
              <w:spacing w:line="440" w:lineRule="exact"/>
              <w:ind w:firstLine="480" w:firstLineChars="200"/>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7、租摆植物如出现发黄、枯萎等现象，应当日立即更换。</w:t>
            </w:r>
          </w:p>
          <w:p>
            <w:pPr>
              <w:adjustRightInd w:val="0"/>
              <w:snapToGrid w:val="0"/>
              <w:spacing w:line="440" w:lineRule="exact"/>
              <w:ind w:firstLine="482" w:firstLineChars="200"/>
              <w:rPr>
                <w:rFonts w:hint="eastAsia" w:cs="宋体" w:asciiTheme="majorEastAsia" w:hAnsiTheme="majorEastAsia" w:eastAsiaTheme="majorEastAsia"/>
                <w:b/>
                <w:sz w:val="24"/>
                <w:szCs w:val="24"/>
              </w:rPr>
            </w:pPr>
            <w:r>
              <w:rPr>
                <w:rFonts w:hint="eastAsia" w:cs="宋体" w:asciiTheme="majorEastAsia" w:hAnsiTheme="majorEastAsia" w:eastAsiaTheme="majorEastAsia"/>
                <w:b/>
                <w:sz w:val="24"/>
              </w:rPr>
              <w:t>（三）</w:t>
            </w:r>
            <w:bookmarkStart w:id="45" w:name="_Hlk171695090"/>
            <w:r>
              <w:rPr>
                <w:rFonts w:hint="eastAsia" w:cs="宋体" w:asciiTheme="majorEastAsia" w:hAnsiTheme="majorEastAsia" w:eastAsiaTheme="majorEastAsia"/>
                <w:b/>
                <w:sz w:val="24"/>
              </w:rPr>
              <w:t>绿植租摆</w:t>
            </w:r>
            <w:r>
              <w:rPr>
                <w:rFonts w:hint="eastAsia" w:cs="宋体" w:asciiTheme="majorEastAsia" w:hAnsiTheme="majorEastAsia" w:eastAsiaTheme="majorEastAsia"/>
                <w:b/>
                <w:sz w:val="24"/>
                <w:szCs w:val="24"/>
              </w:rPr>
              <w:t>期限：</w:t>
            </w:r>
            <w:r>
              <w:rPr>
                <w:rFonts w:hint="eastAsia" w:ascii="宋体" w:hAnsi="宋体" w:cs="宋体" w:eastAsiaTheme="majorEastAsia"/>
                <w:sz w:val="24"/>
                <w:szCs w:val="24"/>
              </w:rPr>
              <w:t>9</w:t>
            </w:r>
            <w:r>
              <w:rPr>
                <w:rFonts w:hint="eastAsia" w:ascii="宋体" w:hAnsi="宋体" w:cs="宋体"/>
                <w:sz w:val="24"/>
                <w:szCs w:val="24"/>
              </w:rPr>
              <w:t>个月（2024年10月1日-2025年6月30日）</w:t>
            </w:r>
          </w:p>
          <w:p>
            <w:pPr>
              <w:adjustRightInd w:val="0"/>
              <w:snapToGrid w:val="0"/>
              <w:spacing w:line="440" w:lineRule="exact"/>
              <w:ind w:firstLine="482" w:firstLineChars="200"/>
              <w:rPr>
                <w:rFonts w:hint="eastAsia" w:ascii="宋体" w:hAnsi="宋体" w:cs="宋体"/>
                <w:b/>
                <w:bCs/>
                <w:sz w:val="24"/>
                <w:szCs w:val="24"/>
              </w:rPr>
            </w:pPr>
            <w:r>
              <w:rPr>
                <w:rFonts w:hint="eastAsia" w:ascii="宋体" w:hAnsi="宋体" w:cs="宋体"/>
                <w:b/>
                <w:bCs/>
                <w:sz w:val="24"/>
                <w:szCs w:val="24"/>
              </w:rPr>
              <w:t>三、付款方式</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绿化养护费用：合同签订，绿化养护服务一月后，结合当月考核情况，支付绿化养护成交价的30%；合同签订半年后，结合半年绿化养护考核情况，支付绿化养护成交价的20%；合同完成，综合绿化养护考核情况，支付剩余绿化养护费用。（绿化养护考核要求：以每月绿化养护管理考核为依据，考评分在85分（含85分）以上的全额支付相应的绿化养护费用，考评分在85分（不含85分）以下的,每少一分扣除相应绿化养护费用200元。)</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2、植物租摆费用：合同签订，第一次植物租摆按要求放置到位并验收合格后，支付植物租摆成交价的30%；合同签订半年后，植物租摆到位并养护更换验收合格，支付植物租摆成交价的20%；合同完成，支付剩余植物租摆费用。</w:t>
            </w:r>
            <w:bookmarkEnd w:id="45"/>
          </w:p>
          <w:p>
            <w:pPr>
              <w:adjustRightInd w:val="0"/>
              <w:snapToGrid w:val="0"/>
              <w:spacing w:line="440" w:lineRule="exact"/>
              <w:ind w:firstLine="573"/>
              <w:rPr>
                <w:rFonts w:hint="eastAsia" w:asciiTheme="majorEastAsia" w:hAnsiTheme="majorEastAsia" w:eastAsiaTheme="majorEastAsia"/>
              </w:rPr>
            </w:pPr>
            <w:r>
              <w:rPr>
                <w:rFonts w:hint="eastAsia" w:ascii="宋体" w:hAnsi="宋体" w:cs="宋体"/>
                <w:bCs/>
                <w:sz w:val="24"/>
                <w:szCs w:val="24"/>
              </w:rPr>
              <w:t>款项由采购单位按相关财务支付规定办理支付手续。付款时供货商需提供正规发票。以上付款均不计利息。</w:t>
            </w:r>
          </w:p>
        </w:tc>
      </w:tr>
    </w:tbl>
    <w:p>
      <w:pPr>
        <w:snapToGrid w:val="0"/>
        <w:spacing w:line="480" w:lineRule="exact"/>
        <w:ind w:firstLine="729" w:firstLineChars="206"/>
        <w:jc w:val="center"/>
        <w:outlineLvl w:val="1"/>
        <w:rPr>
          <w:rFonts w:hint="eastAsia" w:ascii="宋体" w:hAnsi="宋体" w:cs="宋体"/>
          <w:b/>
          <w:iCs/>
          <w:color w:val="000000"/>
          <w:w w:val="80"/>
          <w:sz w:val="44"/>
          <w:szCs w:val="44"/>
        </w:rPr>
      </w:pPr>
    </w:p>
    <w:p>
      <w:pPr>
        <w:snapToGrid w:val="0"/>
        <w:spacing w:line="480" w:lineRule="exact"/>
        <w:ind w:firstLine="729" w:firstLineChars="206"/>
        <w:jc w:val="center"/>
        <w:outlineLvl w:val="1"/>
        <w:rPr>
          <w:rFonts w:hint="eastAsia" w:ascii="宋体" w:hAnsi="宋体" w:cs="宋体"/>
          <w:b/>
          <w:iCs/>
          <w:color w:val="000000"/>
          <w:w w:val="80"/>
          <w:sz w:val="44"/>
          <w:szCs w:val="44"/>
        </w:rPr>
      </w:pPr>
    </w:p>
    <w:p>
      <w:pPr>
        <w:snapToGrid w:val="0"/>
        <w:spacing w:line="480" w:lineRule="exact"/>
        <w:ind w:firstLine="729" w:firstLineChars="206"/>
        <w:jc w:val="center"/>
        <w:outlineLvl w:val="1"/>
        <w:rPr>
          <w:rFonts w:hint="eastAsia" w:ascii="宋体" w:hAnsi="宋体" w:cs="宋体"/>
          <w:b/>
          <w:iCs/>
          <w:color w:val="000000"/>
          <w:w w:val="80"/>
          <w:sz w:val="44"/>
          <w:szCs w:val="44"/>
        </w:rPr>
      </w:pPr>
    </w:p>
    <w:p>
      <w:pPr>
        <w:snapToGrid w:val="0"/>
        <w:spacing w:line="480" w:lineRule="exact"/>
        <w:jc w:val="center"/>
        <w:outlineLvl w:val="1"/>
        <w:rPr>
          <w:rFonts w:ascii="宋体" w:hAnsi="宋体" w:cs="宋体"/>
          <w:b/>
          <w:iCs/>
          <w:color w:val="000000"/>
          <w:w w:val="80"/>
          <w:sz w:val="44"/>
          <w:szCs w:val="44"/>
        </w:rPr>
      </w:pPr>
    </w:p>
    <w:p>
      <w:pPr>
        <w:snapToGrid w:val="0"/>
        <w:spacing w:line="480" w:lineRule="exact"/>
        <w:jc w:val="center"/>
        <w:outlineLvl w:val="1"/>
        <w:rPr>
          <w:rFonts w:ascii="宋体" w:cs="宋体"/>
          <w:color w:val="FF0000"/>
          <w:kern w:val="0"/>
          <w:sz w:val="24"/>
          <w:szCs w:val="24"/>
        </w:rPr>
      </w:pPr>
      <w:r>
        <w:rPr>
          <w:rFonts w:hint="eastAsia" w:ascii="宋体" w:hAnsi="宋体" w:cs="宋体"/>
          <w:b/>
          <w:iCs/>
          <w:color w:val="000000"/>
          <w:w w:val="80"/>
          <w:sz w:val="44"/>
          <w:szCs w:val="44"/>
        </w:rPr>
        <w:t>第四章</w:t>
      </w:r>
      <w:r>
        <w:rPr>
          <w:rFonts w:ascii="宋体" w:hAnsi="宋体" w:cs="宋体"/>
          <w:b/>
          <w:iCs/>
          <w:color w:val="000000"/>
          <w:w w:val="80"/>
          <w:sz w:val="44"/>
          <w:szCs w:val="44"/>
        </w:rPr>
        <w:t xml:space="preserve">  </w:t>
      </w:r>
      <w:bookmarkEnd w:id="33"/>
      <w:bookmarkEnd w:id="34"/>
      <w:bookmarkEnd w:id="35"/>
      <w:bookmarkEnd w:id="36"/>
      <w:bookmarkEnd w:id="37"/>
      <w:bookmarkEnd w:id="38"/>
      <w:bookmarkEnd w:id="39"/>
      <w:bookmarkEnd w:id="40"/>
      <w:bookmarkEnd w:id="41"/>
      <w:bookmarkEnd w:id="42"/>
      <w:bookmarkEnd w:id="43"/>
      <w:bookmarkStart w:id="46" w:name="_Toc43217893"/>
      <w:bookmarkStart w:id="47" w:name="_Toc38121794"/>
      <w:bookmarkStart w:id="48" w:name="_Toc37322565"/>
      <w:bookmarkStart w:id="49" w:name="_Toc182848996"/>
      <w:bookmarkStart w:id="50" w:name="_Toc85627670"/>
      <w:bookmarkStart w:id="51" w:name="_Toc94544873"/>
      <w:bookmarkStart w:id="52" w:name="_Toc11554642"/>
      <w:bookmarkStart w:id="53" w:name="_Toc94544747"/>
      <w:bookmarkStart w:id="54" w:name="_Toc11500283"/>
      <w:bookmarkStart w:id="55" w:name="_Toc11499587"/>
      <w:bookmarkStart w:id="56" w:name="_Toc13803484"/>
      <w:bookmarkStart w:id="57" w:name="_Toc8895742"/>
      <w:bookmarkStart w:id="58" w:name="_Toc12670506"/>
      <w:r>
        <w:rPr>
          <w:rFonts w:hint="eastAsia" w:ascii="宋体" w:hAnsi="宋体" w:cs="宋体"/>
          <w:b/>
          <w:iCs/>
          <w:color w:val="000000"/>
          <w:w w:val="80"/>
          <w:sz w:val="44"/>
          <w:szCs w:val="44"/>
        </w:rPr>
        <w:t>评审方法和程序</w:t>
      </w:r>
      <w:bookmarkEnd w:id="44"/>
    </w:p>
    <w:bookmarkEnd w:id="46"/>
    <w:bookmarkEnd w:id="47"/>
    <w:bookmarkEnd w:id="48"/>
    <w:bookmarkEnd w:id="49"/>
    <w:bookmarkEnd w:id="50"/>
    <w:p>
      <w:pPr>
        <w:snapToGrid w:val="0"/>
        <w:spacing w:line="480" w:lineRule="exact"/>
        <w:ind w:firstLine="482" w:firstLineChars="200"/>
        <w:outlineLvl w:val="1"/>
        <w:rPr>
          <w:rFonts w:ascii="宋体" w:cs="宋体"/>
          <w:b/>
          <w:color w:val="000000"/>
          <w:sz w:val="24"/>
          <w:szCs w:val="24"/>
        </w:rPr>
      </w:pPr>
      <w:bookmarkStart w:id="59" w:name="_Toc363573857"/>
      <w:bookmarkEnd w:id="59"/>
      <w:r>
        <w:rPr>
          <w:rFonts w:hint="eastAsia" w:ascii="宋体" w:hAnsi="宋体" w:cs="宋体"/>
          <w:b/>
          <w:color w:val="000000"/>
          <w:sz w:val="24"/>
          <w:szCs w:val="24"/>
        </w:rPr>
        <w:t>一、代理机构组织磋商</w:t>
      </w:r>
    </w:p>
    <w:p>
      <w:pPr>
        <w:snapToGrid w:val="0"/>
        <w:spacing w:line="480" w:lineRule="exact"/>
        <w:ind w:firstLine="436" w:firstLineChars="182"/>
        <w:rPr>
          <w:rFonts w:hint="eastAsia" w:ascii="宋体" w:hAnsi="宋体" w:cs="宋体"/>
          <w:b/>
          <w:bCs/>
          <w:sz w:val="24"/>
          <w:szCs w:val="24"/>
        </w:rPr>
      </w:pPr>
      <w:r>
        <w:rPr>
          <w:rFonts w:ascii="宋体" w:hAnsi="宋体" w:cs="宋体"/>
          <w:sz w:val="24"/>
          <w:szCs w:val="24"/>
        </w:rPr>
        <w:t>1</w:t>
      </w:r>
      <w:r>
        <w:rPr>
          <w:rFonts w:hint="eastAsia" w:ascii="宋体" w:hAnsi="宋体" w:cs="宋体"/>
          <w:sz w:val="24"/>
          <w:szCs w:val="24"/>
        </w:rPr>
        <w:t>、本次竞争性磋商依据有关法规成立磋商小组。</w:t>
      </w:r>
      <w:r>
        <w:rPr>
          <w:rFonts w:hint="eastAsia" w:ascii="宋体" w:hAnsi="宋体" w:cs="宋体"/>
          <w:b/>
          <w:bCs/>
          <w:sz w:val="24"/>
          <w:szCs w:val="24"/>
        </w:rPr>
        <w:t>磋商小组由采购人代表和评审专家共</w:t>
      </w:r>
      <w:r>
        <w:rPr>
          <w:rFonts w:ascii="宋体" w:hAnsi="宋体" w:cs="宋体"/>
          <w:b/>
          <w:bCs/>
          <w:sz w:val="24"/>
          <w:szCs w:val="24"/>
        </w:rPr>
        <w:t>3</w:t>
      </w:r>
      <w:r>
        <w:rPr>
          <w:rFonts w:hint="eastAsia" w:ascii="宋体" w:hAnsi="宋体" w:cs="宋体"/>
          <w:b/>
          <w:bCs/>
          <w:sz w:val="24"/>
          <w:szCs w:val="24"/>
        </w:rPr>
        <w:t>人组成。</w:t>
      </w:r>
    </w:p>
    <w:p>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pPr>
        <w:snapToGrid w:val="0"/>
        <w:spacing w:line="480" w:lineRule="exact"/>
        <w:ind w:firstLine="480" w:firstLineChars="200"/>
        <w:rPr>
          <w:rFonts w:ascii="宋体" w:cs="宋体"/>
          <w:sz w:val="24"/>
          <w:szCs w:val="24"/>
        </w:rPr>
      </w:pPr>
      <w:r>
        <w:rPr>
          <w:rFonts w:hint="eastAsia" w:ascii="宋体" w:hAnsi="宋体" w:cs="宋体"/>
          <w:sz w:val="24"/>
          <w:szCs w:val="24"/>
        </w:rPr>
        <w:t>3、磋商小组的职责：</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480" w:lineRule="exact"/>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480" w:lineRule="exact"/>
        <w:ind w:firstLine="480" w:firstLineChars="200"/>
        <w:rPr>
          <w:rFonts w:ascii="宋体" w:cs="宋体"/>
          <w:sz w:val="24"/>
          <w:szCs w:val="24"/>
        </w:rPr>
      </w:pPr>
      <w:r>
        <w:rPr>
          <w:rFonts w:hint="eastAsia" w:ascii="宋体" w:hAnsi="宋体" w:cs="宋体"/>
          <w:sz w:val="24"/>
          <w:szCs w:val="24"/>
        </w:rPr>
        <w:t>4、评审有关记录由磋商小组成员签名，存档备查。</w:t>
      </w:r>
    </w:p>
    <w:p>
      <w:pPr>
        <w:snapToGrid w:val="0"/>
        <w:spacing w:line="480" w:lineRule="exact"/>
        <w:ind w:firstLine="480" w:firstLineChars="200"/>
        <w:rPr>
          <w:rFonts w:ascii="宋体" w:cs="宋体"/>
          <w:sz w:val="24"/>
          <w:szCs w:val="24"/>
        </w:rPr>
      </w:pPr>
      <w:r>
        <w:rPr>
          <w:rFonts w:hint="eastAsia" w:ascii="宋体" w:hAnsi="宋体" w:cs="宋体"/>
          <w:sz w:val="24"/>
          <w:szCs w:val="24"/>
        </w:rPr>
        <w:t>5、供应商的法定代表人或被授权人须持身份证准时参加磋商开标会。</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二、磋商的原则及方法</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、磋商小组依据相关法规，遵循“公开、公平、公正、择优、信用”的原则进行磋商评审。</w:t>
      </w:r>
    </w:p>
    <w:p>
      <w:pPr>
        <w:snapToGrid w:val="0"/>
        <w:spacing w:line="480" w:lineRule="exact"/>
        <w:ind w:firstLine="484" w:firstLineChars="202"/>
        <w:rPr>
          <w:rFonts w:ascii="宋体" w:cs="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Pr>
          <w:rFonts w:ascii="宋体" w:hAnsi="宋体" w:cs="宋体"/>
          <w:sz w:val="24"/>
          <w:szCs w:val="24"/>
        </w:rPr>
        <w:t xml:space="preserve"> </w:t>
      </w:r>
    </w:p>
    <w:p>
      <w:pPr>
        <w:snapToGrid w:val="0"/>
        <w:spacing w:line="480" w:lineRule="exact"/>
        <w:ind w:firstLine="484" w:firstLineChars="202"/>
        <w:rPr>
          <w:rFonts w:ascii="宋体" w:cs="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8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480" w:lineRule="exact"/>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w:t>
      </w:r>
    </w:p>
    <w:p>
      <w:pPr>
        <w:snapToGrid w:val="0"/>
        <w:spacing w:line="480" w:lineRule="exact"/>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、经磋商确定最终采购需求和提交最终报价的供应商：磋商文件能够详细列明采购标的的技术、服务要求的，磋商结束后，磋商小组应当要求所有实质性响应的供应商在规定时间内提交最终报价。</w:t>
      </w:r>
    </w:p>
    <w:p>
      <w:pPr>
        <w:snapToGrid w:val="0"/>
        <w:spacing w:line="480" w:lineRule="exact"/>
        <w:ind w:firstLine="480" w:firstLineChars="200"/>
        <w:rPr>
          <w:rFonts w:ascii="宋体" w:cs="宋体"/>
          <w:sz w:val="24"/>
          <w:szCs w:val="24"/>
        </w:rPr>
      </w:pPr>
      <w:r>
        <w:rPr>
          <w:rFonts w:hint="eastAsia" w:ascii="宋体" w:hAnsi="宋体" w:cs="宋体"/>
          <w:sz w:val="24"/>
          <w:szCs w:val="24"/>
        </w:rPr>
        <w:t>9、除非在磋商中磋商小组对采购单位需求内容作了调整增加，或对采购内容作了实质性变更，否则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0、对于在磋商顺利开始后至最终报价前，根据磋商情况退出磋商的供应商，须以书面形式说明退出磋商的原因，经磋商小组同意可以退出磋商。</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1、在磋商中，磋商的任何一方不得透露与磋商有关的其他响应磋商的供应商的技术资料、价格及其他信息。</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2、凡两家或以上公司同一法人代表或其中一家公司为另一家公司单一最大股东的，不能同时参与同一采购项目相同标段的磋商采购活动，一经发现，将视同串标处理。</w:t>
      </w:r>
    </w:p>
    <w:p>
      <w:pPr>
        <w:snapToGrid w:val="0"/>
        <w:spacing w:line="480" w:lineRule="exact"/>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480" w:lineRule="exact"/>
        <w:ind w:firstLine="482" w:firstLineChars="200"/>
        <w:rPr>
          <w:rFonts w:ascii="宋体"/>
          <w:b/>
          <w:bCs/>
          <w:sz w:val="24"/>
          <w:szCs w:val="24"/>
        </w:rPr>
      </w:pPr>
      <w:r>
        <w:rPr>
          <w:rFonts w:hint="eastAsia" w:ascii="宋体" w:hAnsi="宋体" w:cs="宋体"/>
          <w:b/>
          <w:bCs/>
          <w:sz w:val="24"/>
          <w:szCs w:val="24"/>
        </w:rPr>
        <w:t>三、评估步骤</w:t>
      </w:r>
    </w:p>
    <w:p>
      <w:pPr>
        <w:snapToGrid w:val="0"/>
        <w:spacing w:line="480" w:lineRule="exact"/>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pPr>
        <w:snapToGrid w:val="0"/>
        <w:spacing w:line="480" w:lineRule="exact"/>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三阶段：以供应商商务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pPr>
        <w:snapToGrid w:val="0"/>
        <w:spacing w:line="480" w:lineRule="exact"/>
        <w:ind w:firstLine="480" w:firstLineChars="200"/>
        <w:rPr>
          <w:rFonts w:ascii="宋体"/>
          <w:sz w:val="24"/>
          <w:szCs w:val="24"/>
          <w:lang w:val="zh-CN"/>
        </w:rPr>
      </w:pPr>
      <w:r>
        <w:rPr>
          <w:rFonts w:hint="eastAsia" w:ascii="宋体" w:hAnsi="宋体" w:cs="宋体"/>
          <w:sz w:val="24"/>
          <w:szCs w:val="24"/>
          <w:lang w:val="zh-CN"/>
        </w:rPr>
        <w:t>第四阶段：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w:t>
      </w:r>
    </w:p>
    <w:p>
      <w:pPr>
        <w:snapToGrid w:val="0"/>
        <w:spacing w:line="480" w:lineRule="exact"/>
        <w:ind w:firstLine="480" w:firstLineChars="200"/>
        <w:rPr>
          <w:rFonts w:ascii="宋体" w:cs="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480" w:lineRule="exact"/>
        <w:ind w:firstLine="482" w:firstLineChars="200"/>
        <w:outlineLvl w:val="1"/>
        <w:rPr>
          <w:rFonts w:ascii="宋体" w:cs="宋体"/>
          <w:b/>
          <w:sz w:val="24"/>
          <w:szCs w:val="24"/>
        </w:rPr>
      </w:pPr>
      <w:r>
        <w:rPr>
          <w:rFonts w:hint="eastAsia" w:ascii="宋体" w:hAnsi="宋体" w:cs="宋体"/>
          <w:b/>
          <w:sz w:val="24"/>
          <w:szCs w:val="24"/>
        </w:rPr>
        <w:t>四、磋商评定结果的方法</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sz w:val="24"/>
          <w:szCs w:val="24"/>
          <w:u w:val="single"/>
        </w:rPr>
        <w:t>经磋商确定最终采购需求和提交最终报价的供应商后，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对提交最终报价的供应商的响应文件和最终报价</w:t>
      </w:r>
      <w:r>
        <w:rPr>
          <w:rFonts w:hint="eastAsia" w:ascii="宋体" w:hAnsi="宋体" w:cs="宋体"/>
          <w:sz w:val="24"/>
          <w:szCs w:val="24"/>
        </w:rPr>
        <w:t>进行综合评分。</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、评审时，磋商小组各成员应当独立对每个有效响应的文件进行评价、打分，然后汇总每个供应商每项评分因素的得分（计算结果均四舍五入保留两位小数）。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评审总分值为</w:t>
      </w:r>
      <w:r>
        <w:rPr>
          <w:rFonts w:ascii="宋体" w:hAnsi="宋体" w:cs="宋体"/>
          <w:sz w:val="24"/>
          <w:szCs w:val="24"/>
        </w:rPr>
        <w:t>100</w:t>
      </w:r>
      <w:r>
        <w:rPr>
          <w:rFonts w:hint="eastAsia" w:ascii="宋体" w:hAnsi="宋体" w:cs="宋体"/>
          <w:sz w:val="24"/>
          <w:szCs w:val="24"/>
        </w:rPr>
        <w:t>分。两部分评审因素比重如下：</w:t>
      </w:r>
      <w:r>
        <w:rPr>
          <w:rFonts w:ascii="宋体" w:hAnsi="宋体" w:cs="宋体"/>
          <w:sz w:val="24"/>
          <w:szCs w:val="24"/>
        </w:rPr>
        <w:t xml:space="preserve"> </w:t>
      </w:r>
    </w:p>
    <w:p>
      <w:pPr>
        <w:snapToGrid w:val="0"/>
        <w:spacing w:line="480" w:lineRule="exact"/>
        <w:ind w:firstLine="480" w:firstLineChars="200"/>
        <w:rPr>
          <w:rFonts w:ascii="宋体" w:cs="宋体"/>
          <w:sz w:val="24"/>
          <w:szCs w:val="24"/>
        </w:rPr>
      </w:pPr>
      <w:r>
        <w:rPr>
          <w:rFonts w:hint="eastAsia" w:ascii="宋体" w:hAnsi="宋体" w:cs="宋体"/>
          <w:sz w:val="24"/>
          <w:szCs w:val="24"/>
        </w:rPr>
        <w:t>技术</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b/>
          <w:sz w:val="24"/>
          <w:szCs w:val="24"/>
          <w:u w:val="single"/>
        </w:rPr>
        <w:t>70</w:t>
      </w:r>
      <w:r>
        <w:rPr>
          <w:rFonts w:ascii="宋体" w:hAnsi="宋体" w:cs="宋体"/>
          <w:b/>
          <w:sz w:val="24"/>
          <w:szCs w:val="24"/>
          <w:u w:val="single"/>
        </w:rPr>
        <w:t>%</w:t>
      </w:r>
      <w:r>
        <w:rPr>
          <w:rFonts w:hint="eastAsia" w:ascii="宋体" w:hAnsi="宋体" w:cs="宋体"/>
          <w:b/>
          <w:sz w:val="24"/>
          <w:szCs w:val="24"/>
          <w:u w:val="single"/>
        </w:rPr>
        <w:t>（权重）</w:t>
      </w:r>
      <w:r>
        <w:rPr>
          <w:rFonts w:hint="eastAsia" w:ascii="宋体" w:hAnsi="宋体" w:cs="宋体"/>
          <w:sz w:val="24"/>
          <w:szCs w:val="24"/>
        </w:rPr>
        <w:t>（四舍五入保留两位小数）；</w:t>
      </w:r>
    </w:p>
    <w:p>
      <w:pPr>
        <w:snapToGrid w:val="0"/>
        <w:spacing w:line="480" w:lineRule="exact"/>
        <w:ind w:firstLine="480" w:firstLineChars="200"/>
        <w:rPr>
          <w:rFonts w:ascii="宋体" w:cs="宋体"/>
          <w:sz w:val="24"/>
          <w:szCs w:val="24"/>
        </w:rPr>
      </w:pP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b/>
          <w:sz w:val="24"/>
          <w:szCs w:val="24"/>
          <w:u w:val="single"/>
        </w:rPr>
        <w:t>30</w:t>
      </w:r>
      <w:r>
        <w:rPr>
          <w:rFonts w:ascii="宋体" w:hAnsi="宋体" w:cs="宋体"/>
          <w:b/>
          <w:sz w:val="24"/>
          <w:szCs w:val="24"/>
          <w:u w:val="single"/>
        </w:rPr>
        <w:t>%</w:t>
      </w:r>
      <w:r>
        <w:rPr>
          <w:rFonts w:hint="eastAsia" w:ascii="宋体" w:hAnsi="宋体" w:cs="宋体"/>
          <w:b/>
          <w:sz w:val="24"/>
          <w:szCs w:val="24"/>
          <w:u w:val="single"/>
        </w:rPr>
        <w:t>（权重）</w:t>
      </w:r>
      <w:r>
        <w:rPr>
          <w:rFonts w:ascii="宋体" w:hAnsi="宋体" w:cs="宋体"/>
          <w:b/>
          <w:sz w:val="24"/>
          <w:szCs w:val="24"/>
          <w:u w:val="single"/>
        </w:rPr>
        <w:t xml:space="preserve"> </w:t>
      </w:r>
      <w:r>
        <w:rPr>
          <w:rFonts w:hint="eastAsia" w:ascii="宋体" w:hAnsi="宋体" w:cs="宋体"/>
          <w:sz w:val="24"/>
          <w:szCs w:val="24"/>
        </w:rPr>
        <w:t>（四舍五入保留两位小数）。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r>
        <w:rPr>
          <w:rFonts w:ascii="宋体" w:hAnsi="宋体" w:cs="宋体"/>
          <w:sz w:val="24"/>
          <w:szCs w:val="24"/>
        </w:rPr>
        <w:t xml:space="preserve">  </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48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、综合得分最高的供应商推荐为项目预成交供应商并出具评审磋商报告。</w:t>
      </w:r>
    </w:p>
    <w:p>
      <w:pPr>
        <w:snapToGrid w:val="0"/>
        <w:spacing w:line="480" w:lineRule="exact"/>
        <w:ind w:firstLine="480" w:firstLineChars="200"/>
        <w:outlineLvl w:val="1"/>
        <w:rPr>
          <w:rFonts w:ascii="宋体" w:cs="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480" w:lineRule="exact"/>
        <w:ind w:firstLine="480" w:firstLineChars="200"/>
        <w:outlineLvl w:val="1"/>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）若总分相同，则按最终报价得分高者优先成交。</w:t>
      </w:r>
    </w:p>
    <w:p>
      <w:pPr>
        <w:snapToGrid w:val="0"/>
        <w:spacing w:line="480" w:lineRule="exact"/>
        <w:ind w:firstLine="480" w:firstLineChars="200"/>
        <w:outlineLvl w:val="1"/>
        <w:rPr>
          <w:rFonts w:ascii="宋体" w:cs="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480" w:lineRule="exact"/>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480" w:lineRule="exact"/>
        <w:ind w:firstLine="480" w:firstLineChars="200"/>
        <w:rPr>
          <w:rFonts w:ascii="宋体" w:cs="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480" w:lineRule="exact"/>
        <w:ind w:firstLine="482" w:firstLineChars="200"/>
        <w:outlineLvl w:val="1"/>
        <w:rPr>
          <w:rFonts w:hint="eastAsia" w:ascii="宋体" w:hAnsi="宋体" w:cs="宋体"/>
          <w:b/>
          <w:sz w:val="24"/>
          <w:szCs w:val="24"/>
        </w:rPr>
      </w:pPr>
      <w:r>
        <w:rPr>
          <w:rFonts w:hint="eastAsia" w:ascii="宋体" w:hAnsi="宋体" w:cs="宋体"/>
          <w:b/>
          <w:sz w:val="24"/>
          <w:szCs w:val="24"/>
        </w:rPr>
        <w:t>五、综合评分评审标准</w:t>
      </w:r>
    </w:p>
    <w:p>
      <w:pPr>
        <w:snapToGrid w:val="0"/>
        <w:spacing w:line="480" w:lineRule="exact"/>
        <w:ind w:firstLine="482" w:firstLineChars="200"/>
        <w:outlineLvl w:val="1"/>
        <w:rPr>
          <w:rFonts w:hint="eastAsia" w:ascii="宋体" w:hAnsi="宋体" w:cs="宋体"/>
          <w:b/>
          <w:sz w:val="24"/>
          <w:szCs w:val="24"/>
        </w:rPr>
      </w:pPr>
      <w:r>
        <w:rPr>
          <w:rFonts w:hint="eastAsia" w:ascii="宋体" w:hAnsi="宋体" w:cs="宋体"/>
          <w:b/>
          <w:sz w:val="24"/>
          <w:szCs w:val="24"/>
        </w:rPr>
        <w:t>（一）技术响应评分：（70分）</w:t>
      </w:r>
    </w:p>
    <w:tbl>
      <w:tblPr>
        <w:tblStyle w:val="50"/>
        <w:tblW w:w="10785" w:type="dxa"/>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65" w:type="dxa"/>
            <w:vAlign w:val="center"/>
          </w:tcPr>
          <w:p>
            <w:pPr>
              <w:spacing w:line="400" w:lineRule="exact"/>
              <w:jc w:val="center"/>
              <w:rPr>
                <w:rFonts w:ascii="宋体" w:cs="宋体"/>
                <w:b/>
                <w:sz w:val="24"/>
                <w:szCs w:val="24"/>
              </w:rPr>
            </w:pPr>
            <w:r>
              <w:rPr>
                <w:rFonts w:hint="eastAsia" w:ascii="宋体" w:hAnsi="宋体" w:cs="宋体"/>
                <w:b/>
                <w:bCs/>
                <w:sz w:val="24"/>
                <w:szCs w:val="24"/>
              </w:rPr>
              <w:t>评审因素</w:t>
            </w:r>
          </w:p>
        </w:tc>
        <w:tc>
          <w:tcPr>
            <w:tcW w:w="9120" w:type="dxa"/>
            <w:vAlign w:val="center"/>
          </w:tcPr>
          <w:p>
            <w:pPr>
              <w:spacing w:line="400" w:lineRule="exact"/>
              <w:jc w:val="center"/>
              <w:rPr>
                <w:rFonts w:ascii="宋体" w:cs="宋体"/>
                <w:b/>
                <w:sz w:val="24"/>
                <w:szCs w:val="24"/>
              </w:rPr>
            </w:pPr>
            <w:r>
              <w:rPr>
                <w:rFonts w:hint="eastAsia" w:ascii="宋体" w:hAnsi="宋体" w:cs="宋体"/>
                <w:b/>
                <w:bCs/>
                <w:sz w:val="24"/>
                <w:szCs w:val="24"/>
              </w:rPr>
              <w:t>评分标准说明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665" w:type="dxa"/>
            <w:vAlign w:val="center"/>
          </w:tcPr>
          <w:p>
            <w:pPr>
              <w:adjustRightInd w:val="0"/>
              <w:snapToGrid w:val="0"/>
              <w:spacing w:line="360" w:lineRule="exact"/>
              <w:jc w:val="center"/>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企业实力</w:t>
            </w:r>
          </w:p>
          <w:p>
            <w:pPr>
              <w:adjustRightInd w:val="0"/>
              <w:snapToGrid w:val="0"/>
              <w:spacing w:line="360" w:lineRule="exact"/>
              <w:jc w:val="center"/>
              <w:rPr>
                <w:rFonts w:ascii="宋体" w:cs="宋体"/>
                <w:b/>
                <w:sz w:val="24"/>
                <w:szCs w:val="24"/>
                <w:lang w:val="zh-CN"/>
              </w:rPr>
            </w:pPr>
            <w:r>
              <w:rPr>
                <w:rFonts w:hint="eastAsia" w:cs="仿宋" w:asciiTheme="minorEastAsia" w:hAnsiTheme="minorEastAsia" w:eastAsiaTheme="minorEastAsia"/>
                <w:b/>
                <w:bCs/>
                <w:sz w:val="24"/>
                <w:szCs w:val="24"/>
              </w:rPr>
              <w:t>（3分）</w:t>
            </w:r>
          </w:p>
        </w:tc>
        <w:tc>
          <w:tcPr>
            <w:tcW w:w="9120" w:type="dxa"/>
            <w:vAlign w:val="center"/>
          </w:tcPr>
          <w:p>
            <w:pPr>
              <w:adjustRightInd w:val="0"/>
              <w:snapToGrid w:val="0"/>
              <w:spacing w:line="360" w:lineRule="exact"/>
              <w:rPr>
                <w:rFonts w:ascii="宋体" w:cs="宋体"/>
                <w:sz w:val="24"/>
                <w:szCs w:val="24"/>
                <w:lang w:val="zh-CN"/>
              </w:rPr>
            </w:pPr>
            <w:r>
              <w:rPr>
                <w:rFonts w:hint="eastAsia" w:ascii="宋体" w:hAnsi="宋体" w:cs="宋体"/>
                <w:sz w:val="24"/>
              </w:rPr>
              <w:t>投标供应商具备温室大棚的得2分，苗木基地的得1分（需提供</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1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①</w:t>
            </w:r>
            <w:r>
              <w:rPr>
                <w:rFonts w:ascii="宋体" w:hAnsi="宋体" w:cs="宋体"/>
                <w:sz w:val="24"/>
              </w:rPr>
              <w:fldChar w:fldCharType="end"/>
            </w:r>
            <w:r>
              <w:rPr>
                <w:rFonts w:hint="eastAsia" w:ascii="宋体" w:hAnsi="宋体" w:cs="宋体"/>
                <w:sz w:val="24"/>
              </w:rPr>
              <w:t>图片、</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2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②</w:t>
            </w:r>
            <w:r>
              <w:rPr>
                <w:rFonts w:ascii="宋体" w:hAnsi="宋体" w:cs="宋体"/>
                <w:sz w:val="24"/>
              </w:rPr>
              <w:fldChar w:fldCharType="end"/>
            </w:r>
            <w:r>
              <w:rPr>
                <w:rFonts w:hint="eastAsia" w:ascii="宋体" w:hAnsi="宋体" w:cs="宋体"/>
                <w:sz w:val="24"/>
              </w:rPr>
              <w:t>导航位置截图、</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3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③</w:t>
            </w:r>
            <w:r>
              <w:rPr>
                <w:rFonts w:ascii="宋体" w:hAnsi="宋体" w:cs="宋体"/>
                <w:sz w:val="24"/>
              </w:rPr>
              <w:fldChar w:fldCharType="end"/>
            </w:r>
            <w:r>
              <w:rPr>
                <w:rFonts w:hint="eastAsia" w:ascii="宋体" w:hAnsi="宋体" w:cs="宋体"/>
                <w:sz w:val="24"/>
              </w:rPr>
              <w:t>土地流转或</w:t>
            </w:r>
            <w:r>
              <w:rPr>
                <w:rFonts w:ascii="宋体" w:hAnsi="宋体" w:cs="宋体"/>
                <w:sz w:val="24"/>
              </w:rPr>
              <w:fldChar w:fldCharType="begin"/>
            </w:r>
            <w:r>
              <w:rPr>
                <w:rFonts w:ascii="宋体" w:hAnsi="宋体" w:cs="宋体"/>
                <w:sz w:val="24"/>
              </w:rPr>
              <w:instrText xml:space="preserve"> </w:instrText>
            </w:r>
            <w:r>
              <w:rPr>
                <w:rFonts w:hint="eastAsia" w:ascii="宋体" w:hAnsi="宋体" w:cs="宋体"/>
                <w:sz w:val="24"/>
              </w:rPr>
              <w:instrText xml:space="preserve">= 4 \* GB3</w:instrText>
            </w:r>
            <w:r>
              <w:rPr>
                <w:rFonts w:ascii="宋体" w:hAnsi="宋体" w:cs="宋体"/>
                <w:sz w:val="24"/>
              </w:rPr>
              <w:instrText xml:space="preserve"> </w:instrText>
            </w:r>
            <w:r>
              <w:rPr>
                <w:rFonts w:ascii="宋体" w:hAnsi="宋体" w:cs="宋体"/>
                <w:sz w:val="24"/>
              </w:rPr>
              <w:fldChar w:fldCharType="separate"/>
            </w:r>
            <w:r>
              <w:rPr>
                <w:rFonts w:hint="eastAsia" w:ascii="宋体" w:hAnsi="宋体" w:cs="宋体"/>
                <w:sz w:val="24"/>
              </w:rPr>
              <w:t>④</w:t>
            </w:r>
            <w:r>
              <w:rPr>
                <w:rFonts w:ascii="宋体" w:hAnsi="宋体" w:cs="宋体"/>
                <w:sz w:val="24"/>
              </w:rPr>
              <w:fldChar w:fldCharType="end"/>
            </w:r>
            <w:r>
              <w:rPr>
                <w:rFonts w:hint="eastAsia" w:ascii="宋体" w:hAnsi="宋体" w:cs="宋体"/>
                <w:sz w:val="24"/>
                <w:u w:val="single"/>
              </w:rPr>
              <w:t>租赁合同和投标企业租赁费对公转账记录</w:t>
            </w:r>
            <w:r>
              <w:rPr>
                <w:rFonts w:hint="eastAsia" w:ascii="宋体" w:hAnsi="宋体" w:cs="宋体"/>
                <w:sz w:val="24"/>
              </w:rPr>
              <w:t>，提供不全不得分）。最高3分，不满足不得分。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9" w:hRule="atLeast"/>
        </w:trPr>
        <w:tc>
          <w:tcPr>
            <w:tcW w:w="1665" w:type="dxa"/>
            <w:vAlign w:val="center"/>
          </w:tcPr>
          <w:p>
            <w:pPr>
              <w:adjustRightInd w:val="0"/>
              <w:snapToGrid w:val="0"/>
              <w:spacing w:line="360" w:lineRule="exact"/>
              <w:jc w:val="center"/>
              <w:rPr>
                <w:rFonts w:ascii="宋体" w:cs="宋体"/>
                <w:b/>
                <w:sz w:val="24"/>
                <w:szCs w:val="24"/>
              </w:rPr>
            </w:pPr>
            <w:r>
              <w:rPr>
                <w:rFonts w:hint="eastAsia" w:ascii="宋体" w:hAnsi="宋体" w:cs="宋体"/>
                <w:b/>
                <w:sz w:val="24"/>
                <w:szCs w:val="24"/>
              </w:rPr>
              <w:t>专业养护车辆、机具</w:t>
            </w:r>
          </w:p>
          <w:p>
            <w:pPr>
              <w:adjustRightInd w:val="0"/>
              <w:snapToGrid w:val="0"/>
              <w:spacing w:line="360" w:lineRule="exact"/>
              <w:jc w:val="center"/>
              <w:rPr>
                <w:rFonts w:hint="eastAsia" w:ascii="宋体" w:hAnsi="宋体" w:cs="宋体"/>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1分）</w:t>
            </w:r>
          </w:p>
        </w:tc>
        <w:tc>
          <w:tcPr>
            <w:tcW w:w="9120" w:type="dxa"/>
            <w:vAlign w:val="center"/>
          </w:tcPr>
          <w:p>
            <w:pPr>
              <w:adjustRightInd w:val="0"/>
              <w:snapToGrid w:val="0"/>
              <w:spacing w:line="360" w:lineRule="exact"/>
              <w:jc w:val="left"/>
              <w:rPr>
                <w:rFonts w:ascii="宋体" w:cs="宋体"/>
                <w:bCs/>
                <w:sz w:val="24"/>
                <w:szCs w:val="24"/>
              </w:rPr>
            </w:pPr>
            <w:r>
              <w:rPr>
                <w:rFonts w:hint="eastAsia" w:ascii="宋体" w:hAnsi="宋体" w:cs="宋体"/>
                <w:bCs/>
                <w:sz w:val="24"/>
                <w:szCs w:val="24"/>
              </w:rPr>
              <w:t>投标人拥有高空作业车1分，满分1分；</w:t>
            </w:r>
          </w:p>
          <w:p>
            <w:pPr>
              <w:adjustRightInd w:val="0"/>
              <w:snapToGrid w:val="0"/>
              <w:spacing w:line="360" w:lineRule="exact"/>
              <w:jc w:val="left"/>
              <w:rPr>
                <w:rFonts w:ascii="宋体" w:cs="宋体"/>
                <w:bCs/>
                <w:sz w:val="24"/>
                <w:szCs w:val="24"/>
              </w:rPr>
            </w:pPr>
            <w:r>
              <w:rPr>
                <w:rFonts w:hint="eastAsia" w:ascii="宋体" w:hAnsi="宋体" w:cs="宋体"/>
                <w:bCs/>
                <w:sz w:val="24"/>
                <w:szCs w:val="24"/>
              </w:rPr>
              <w:t>投标人拥有移动式起重机（随车吊）1分，满分1分；</w:t>
            </w:r>
          </w:p>
          <w:p>
            <w:pPr>
              <w:adjustRightInd w:val="0"/>
              <w:snapToGrid w:val="0"/>
              <w:spacing w:line="360" w:lineRule="exact"/>
              <w:jc w:val="left"/>
              <w:rPr>
                <w:rFonts w:ascii="宋体" w:cs="宋体"/>
                <w:bCs/>
                <w:sz w:val="24"/>
                <w:szCs w:val="24"/>
              </w:rPr>
            </w:pPr>
            <w:r>
              <w:rPr>
                <w:rFonts w:hint="eastAsia" w:ascii="宋体" w:hAnsi="宋体" w:cs="宋体"/>
                <w:bCs/>
                <w:sz w:val="24"/>
                <w:szCs w:val="24"/>
              </w:rPr>
              <w:t>投标人拥有剪草机，有一台得</w:t>
            </w:r>
            <w:r>
              <w:rPr>
                <w:rFonts w:ascii="宋体" w:hAnsi="宋体" w:cs="宋体"/>
                <w:bCs/>
                <w:sz w:val="24"/>
                <w:szCs w:val="24"/>
              </w:rPr>
              <w:t>0.5</w:t>
            </w:r>
            <w:r>
              <w:rPr>
                <w:rFonts w:hint="eastAsia" w:ascii="宋体" w:hAnsi="宋体" w:cs="宋体"/>
                <w:bCs/>
                <w:sz w:val="24"/>
                <w:szCs w:val="24"/>
              </w:rPr>
              <w:t>分，满分</w:t>
            </w:r>
            <w:r>
              <w:rPr>
                <w:rFonts w:ascii="宋体" w:hAnsi="宋体" w:cs="宋体"/>
                <w:bCs/>
                <w:sz w:val="24"/>
                <w:szCs w:val="24"/>
              </w:rPr>
              <w:t>2</w:t>
            </w:r>
            <w:r>
              <w:rPr>
                <w:rFonts w:hint="eastAsia" w:ascii="宋体" w:hAnsi="宋体" w:cs="宋体"/>
                <w:bCs/>
                <w:sz w:val="24"/>
                <w:szCs w:val="24"/>
              </w:rPr>
              <w:t>分；</w:t>
            </w:r>
          </w:p>
          <w:p>
            <w:pPr>
              <w:adjustRightInd w:val="0"/>
              <w:snapToGrid w:val="0"/>
              <w:spacing w:line="360" w:lineRule="exact"/>
              <w:jc w:val="left"/>
              <w:rPr>
                <w:rFonts w:ascii="宋体" w:cs="宋体"/>
                <w:bCs/>
                <w:sz w:val="24"/>
                <w:szCs w:val="24"/>
              </w:rPr>
            </w:pPr>
            <w:r>
              <w:rPr>
                <w:rFonts w:hint="eastAsia" w:ascii="宋体" w:hAnsi="宋体" w:cs="宋体"/>
                <w:bCs/>
                <w:sz w:val="24"/>
                <w:szCs w:val="24"/>
              </w:rPr>
              <w:t>投标人拥有机动喷药机，有一台得</w:t>
            </w:r>
            <w:r>
              <w:rPr>
                <w:rFonts w:ascii="宋体" w:hAnsi="宋体" w:cs="宋体"/>
                <w:bCs/>
                <w:sz w:val="24"/>
                <w:szCs w:val="24"/>
              </w:rPr>
              <w:t>0.5</w:t>
            </w:r>
            <w:r>
              <w:rPr>
                <w:rFonts w:hint="eastAsia" w:ascii="宋体" w:hAnsi="宋体" w:cs="宋体"/>
                <w:bCs/>
                <w:sz w:val="24"/>
                <w:szCs w:val="24"/>
              </w:rPr>
              <w:t>分，满分1分；</w:t>
            </w:r>
          </w:p>
          <w:p>
            <w:pPr>
              <w:adjustRightInd w:val="0"/>
              <w:snapToGrid w:val="0"/>
              <w:spacing w:line="360" w:lineRule="exact"/>
              <w:jc w:val="left"/>
              <w:rPr>
                <w:rFonts w:hint="eastAsia" w:ascii="宋体" w:hAnsi="宋体" w:cs="宋体"/>
                <w:bCs/>
                <w:sz w:val="24"/>
                <w:szCs w:val="24"/>
              </w:rPr>
            </w:pPr>
            <w:r>
              <w:rPr>
                <w:rFonts w:hint="eastAsia" w:ascii="宋体" w:hAnsi="宋体" w:cs="宋体"/>
                <w:bCs/>
                <w:sz w:val="24"/>
                <w:szCs w:val="24"/>
              </w:rPr>
              <w:t>投标人拥有水泵，有一台得</w:t>
            </w:r>
            <w:r>
              <w:rPr>
                <w:rFonts w:ascii="宋体" w:hAnsi="宋体" w:cs="宋体"/>
                <w:bCs/>
                <w:sz w:val="24"/>
                <w:szCs w:val="24"/>
              </w:rPr>
              <w:t>0.5</w:t>
            </w:r>
            <w:r>
              <w:rPr>
                <w:rFonts w:hint="eastAsia" w:ascii="宋体" w:hAnsi="宋体" w:cs="宋体"/>
                <w:bCs/>
                <w:sz w:val="24"/>
                <w:szCs w:val="24"/>
              </w:rPr>
              <w:t>分，满分</w:t>
            </w:r>
            <w:r>
              <w:rPr>
                <w:rFonts w:ascii="宋体" w:hAnsi="宋体" w:cs="宋体"/>
                <w:bCs/>
                <w:sz w:val="24"/>
                <w:szCs w:val="24"/>
              </w:rPr>
              <w:t>1</w:t>
            </w:r>
            <w:r>
              <w:rPr>
                <w:rFonts w:hint="eastAsia" w:ascii="宋体" w:hAnsi="宋体" w:cs="宋体"/>
                <w:bCs/>
                <w:sz w:val="24"/>
                <w:szCs w:val="24"/>
              </w:rPr>
              <w:t>分；</w:t>
            </w:r>
          </w:p>
          <w:p>
            <w:pPr>
              <w:adjustRightInd w:val="0"/>
              <w:snapToGrid w:val="0"/>
              <w:spacing w:line="360" w:lineRule="exact"/>
              <w:jc w:val="left"/>
              <w:rPr>
                <w:rFonts w:ascii="宋体" w:cs="宋体"/>
                <w:bCs/>
                <w:sz w:val="24"/>
                <w:szCs w:val="24"/>
              </w:rPr>
            </w:pPr>
            <w:r>
              <w:rPr>
                <w:rFonts w:hint="eastAsia" w:ascii="宋体" w:hAnsi="宋体" w:cs="宋体"/>
                <w:bCs/>
                <w:sz w:val="24"/>
                <w:szCs w:val="24"/>
              </w:rPr>
              <w:t>投标人拥有清运卡车有一辆得</w:t>
            </w:r>
            <w:r>
              <w:rPr>
                <w:rFonts w:ascii="宋体" w:hAnsi="宋体" w:cs="宋体"/>
                <w:bCs/>
                <w:sz w:val="24"/>
                <w:szCs w:val="24"/>
              </w:rPr>
              <w:t>1</w:t>
            </w:r>
            <w:r>
              <w:rPr>
                <w:rFonts w:hint="eastAsia" w:ascii="宋体" w:hAnsi="宋体" w:cs="宋体"/>
                <w:bCs/>
                <w:sz w:val="24"/>
                <w:szCs w:val="24"/>
              </w:rPr>
              <w:t>分</w:t>
            </w:r>
            <w:r>
              <w:rPr>
                <w:rFonts w:ascii="宋体" w:cs="宋体"/>
                <w:bCs/>
                <w:sz w:val="24"/>
                <w:szCs w:val="24"/>
              </w:rPr>
              <w:t>,</w:t>
            </w:r>
            <w:r>
              <w:rPr>
                <w:rFonts w:hint="eastAsia" w:ascii="宋体" w:hAnsi="宋体" w:cs="宋体"/>
                <w:bCs/>
                <w:sz w:val="24"/>
                <w:szCs w:val="24"/>
              </w:rPr>
              <w:t>满分1分；</w:t>
            </w:r>
          </w:p>
          <w:p>
            <w:pPr>
              <w:adjustRightInd w:val="0"/>
              <w:snapToGrid w:val="0"/>
              <w:spacing w:line="360" w:lineRule="exact"/>
              <w:jc w:val="left"/>
              <w:rPr>
                <w:rFonts w:ascii="宋体" w:cs="宋体"/>
                <w:bCs/>
                <w:sz w:val="24"/>
                <w:szCs w:val="24"/>
              </w:rPr>
            </w:pPr>
            <w:r>
              <w:rPr>
                <w:rFonts w:hint="eastAsia" w:ascii="宋体" w:hAnsi="宋体" w:cs="宋体"/>
                <w:bCs/>
                <w:sz w:val="24"/>
                <w:szCs w:val="24"/>
              </w:rPr>
              <w:t>投标人拥有绿篱机有一台得</w:t>
            </w:r>
            <w:r>
              <w:rPr>
                <w:rFonts w:ascii="宋体" w:hAnsi="宋体" w:cs="宋体"/>
                <w:bCs/>
                <w:sz w:val="24"/>
                <w:szCs w:val="24"/>
              </w:rPr>
              <w:t>0.5</w:t>
            </w:r>
            <w:r>
              <w:rPr>
                <w:rFonts w:hint="eastAsia" w:ascii="宋体" w:hAnsi="宋体" w:cs="宋体"/>
                <w:bCs/>
                <w:sz w:val="24"/>
                <w:szCs w:val="24"/>
              </w:rPr>
              <w:t>分，满分</w:t>
            </w:r>
            <w:r>
              <w:rPr>
                <w:rFonts w:ascii="宋体" w:hAnsi="宋体" w:cs="宋体"/>
                <w:bCs/>
                <w:sz w:val="24"/>
                <w:szCs w:val="24"/>
              </w:rPr>
              <w:t>1</w:t>
            </w:r>
            <w:r>
              <w:rPr>
                <w:rFonts w:hint="eastAsia" w:ascii="宋体" w:hAnsi="宋体" w:cs="宋体"/>
                <w:bCs/>
                <w:sz w:val="24"/>
                <w:szCs w:val="24"/>
              </w:rPr>
              <w:t>分；</w:t>
            </w:r>
          </w:p>
          <w:p>
            <w:pPr>
              <w:adjustRightInd w:val="0"/>
              <w:snapToGrid w:val="0"/>
              <w:spacing w:line="360" w:lineRule="exact"/>
              <w:jc w:val="left"/>
              <w:rPr>
                <w:rFonts w:hint="eastAsia" w:ascii="宋体" w:hAnsi="宋体" w:cs="宋体"/>
                <w:bCs/>
                <w:sz w:val="24"/>
                <w:szCs w:val="24"/>
              </w:rPr>
            </w:pPr>
            <w:r>
              <w:rPr>
                <w:rFonts w:hint="eastAsia" w:ascii="宋体" w:hAnsi="宋体" w:cs="宋体"/>
                <w:bCs/>
                <w:sz w:val="24"/>
                <w:szCs w:val="24"/>
              </w:rPr>
              <w:t>投标人拥有割灌机有一台得</w:t>
            </w:r>
            <w:r>
              <w:rPr>
                <w:rFonts w:ascii="宋体" w:hAnsi="宋体" w:cs="宋体"/>
                <w:bCs/>
                <w:sz w:val="24"/>
                <w:szCs w:val="24"/>
              </w:rPr>
              <w:t>0.5</w:t>
            </w:r>
            <w:r>
              <w:rPr>
                <w:rFonts w:hint="eastAsia" w:ascii="宋体" w:hAnsi="宋体" w:cs="宋体"/>
                <w:bCs/>
                <w:sz w:val="24"/>
                <w:szCs w:val="24"/>
              </w:rPr>
              <w:t>分，满分</w:t>
            </w:r>
            <w:r>
              <w:rPr>
                <w:rFonts w:ascii="宋体" w:hAnsi="宋体" w:cs="宋体"/>
                <w:bCs/>
                <w:sz w:val="24"/>
                <w:szCs w:val="24"/>
              </w:rPr>
              <w:t>1</w:t>
            </w:r>
            <w:r>
              <w:rPr>
                <w:rFonts w:hint="eastAsia" w:ascii="宋体" w:hAnsi="宋体" w:cs="宋体"/>
                <w:bCs/>
                <w:sz w:val="24"/>
                <w:szCs w:val="24"/>
              </w:rPr>
              <w:t>分；</w:t>
            </w:r>
          </w:p>
          <w:p>
            <w:pPr>
              <w:adjustRightInd w:val="0"/>
              <w:snapToGrid w:val="0"/>
              <w:spacing w:line="360" w:lineRule="exact"/>
              <w:jc w:val="left"/>
              <w:rPr>
                <w:rFonts w:hint="eastAsia" w:ascii="宋体" w:hAnsi="宋体" w:cs="宋体"/>
                <w:bCs/>
                <w:sz w:val="24"/>
                <w:szCs w:val="24"/>
              </w:rPr>
            </w:pPr>
            <w:r>
              <w:rPr>
                <w:rFonts w:hint="eastAsia" w:ascii="宋体" w:hAnsi="宋体" w:cs="宋体"/>
                <w:bCs/>
                <w:sz w:val="24"/>
                <w:szCs w:val="24"/>
              </w:rPr>
              <w:t>投标人拥有洒水车得</w:t>
            </w:r>
            <w:r>
              <w:rPr>
                <w:rFonts w:ascii="宋体" w:hAnsi="宋体" w:cs="宋体"/>
                <w:bCs/>
                <w:sz w:val="24"/>
                <w:szCs w:val="24"/>
              </w:rPr>
              <w:t>1</w:t>
            </w:r>
            <w:r>
              <w:rPr>
                <w:rFonts w:hint="eastAsia" w:ascii="宋体" w:hAnsi="宋体" w:cs="宋体"/>
                <w:bCs/>
                <w:sz w:val="24"/>
                <w:szCs w:val="24"/>
              </w:rPr>
              <w:t>分，满分</w:t>
            </w:r>
            <w:r>
              <w:rPr>
                <w:rFonts w:ascii="宋体" w:hAnsi="宋体" w:cs="宋体"/>
                <w:bCs/>
                <w:sz w:val="24"/>
                <w:szCs w:val="24"/>
              </w:rPr>
              <w:t>1</w:t>
            </w:r>
            <w:r>
              <w:rPr>
                <w:rFonts w:hint="eastAsia" w:ascii="宋体" w:hAnsi="宋体" w:cs="宋体"/>
                <w:bCs/>
                <w:sz w:val="24"/>
                <w:szCs w:val="24"/>
              </w:rPr>
              <w:t>分；</w:t>
            </w:r>
          </w:p>
          <w:p>
            <w:pPr>
              <w:adjustRightInd w:val="0"/>
              <w:snapToGrid w:val="0"/>
              <w:spacing w:line="360" w:lineRule="exact"/>
              <w:jc w:val="left"/>
              <w:rPr>
                <w:rFonts w:ascii="宋体" w:cs="宋体"/>
                <w:bCs/>
                <w:sz w:val="24"/>
                <w:szCs w:val="24"/>
              </w:rPr>
            </w:pPr>
            <w:r>
              <w:rPr>
                <w:rFonts w:hint="eastAsia" w:ascii="宋体" w:hAnsi="宋体" w:cs="宋体"/>
                <w:bCs/>
                <w:sz w:val="24"/>
                <w:szCs w:val="24"/>
              </w:rPr>
              <w:t>投标人拥有树枝粉碎机有一台得</w:t>
            </w:r>
            <w:r>
              <w:rPr>
                <w:rFonts w:ascii="宋体" w:hAnsi="宋体" w:cs="宋体"/>
                <w:bCs/>
                <w:sz w:val="24"/>
                <w:szCs w:val="24"/>
              </w:rPr>
              <w:t>0.5</w:t>
            </w:r>
            <w:r>
              <w:rPr>
                <w:rFonts w:hint="eastAsia" w:ascii="宋体" w:hAnsi="宋体" w:cs="宋体"/>
                <w:bCs/>
                <w:sz w:val="24"/>
                <w:szCs w:val="24"/>
              </w:rPr>
              <w:t>分，满分</w:t>
            </w:r>
            <w:r>
              <w:rPr>
                <w:rFonts w:ascii="宋体" w:hAnsi="宋体" w:cs="宋体"/>
                <w:bCs/>
                <w:sz w:val="24"/>
                <w:szCs w:val="24"/>
              </w:rPr>
              <w:t>1</w:t>
            </w:r>
            <w:r>
              <w:rPr>
                <w:rFonts w:hint="eastAsia" w:ascii="宋体" w:hAnsi="宋体" w:cs="宋体"/>
                <w:bCs/>
                <w:sz w:val="24"/>
                <w:szCs w:val="24"/>
              </w:rPr>
              <w:t>分。</w:t>
            </w:r>
          </w:p>
          <w:p>
            <w:pPr>
              <w:adjustRightInd w:val="0"/>
              <w:snapToGrid w:val="0"/>
              <w:spacing w:line="360" w:lineRule="exact"/>
              <w:jc w:val="left"/>
              <w:rPr>
                <w:rFonts w:hint="eastAsia" w:ascii="宋体" w:hAnsi="宋体" w:cs="宋体"/>
                <w:bCs/>
                <w:sz w:val="24"/>
                <w:szCs w:val="24"/>
              </w:rPr>
            </w:pPr>
            <w:r>
              <w:rPr>
                <w:rFonts w:hint="eastAsia" w:ascii="宋体" w:hAnsi="宋体" w:cs="宋体"/>
                <w:b/>
                <w:sz w:val="24"/>
                <w:szCs w:val="24"/>
              </w:rPr>
              <w:t>需提供车辆、机具购买发票复印件，且车辆、机具发票复印件付款方单位名称必须与投标人营业执照上的名称一致，如不一致，提供单位名称变更的工商登记证明。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trPr>
        <w:tc>
          <w:tcPr>
            <w:tcW w:w="1665" w:type="dxa"/>
            <w:vAlign w:val="center"/>
          </w:tcPr>
          <w:p>
            <w:pPr>
              <w:adjustRightInd w:val="0"/>
              <w:snapToGrid w:val="0"/>
              <w:spacing w:line="360" w:lineRule="exact"/>
              <w:jc w:val="center"/>
              <w:rPr>
                <w:rFonts w:hint="eastAsia" w:ascii="宋体" w:hAnsi="宋体" w:cs="宋体"/>
                <w:b/>
                <w:sz w:val="24"/>
                <w:szCs w:val="24"/>
              </w:rPr>
            </w:pPr>
            <w:r>
              <w:rPr>
                <w:rFonts w:hint="eastAsia" w:ascii="宋体" w:hAnsi="宋体" w:cs="宋体"/>
                <w:b/>
                <w:sz w:val="24"/>
                <w:szCs w:val="24"/>
              </w:rPr>
              <w:t>企业业绩</w:t>
            </w:r>
          </w:p>
          <w:p>
            <w:pPr>
              <w:adjustRightInd w:val="0"/>
              <w:snapToGrid w:val="0"/>
              <w:spacing w:line="360" w:lineRule="exact"/>
              <w:jc w:val="center"/>
              <w:rPr>
                <w:rFonts w:hint="eastAsia" w:ascii="宋体" w:hAnsi="宋体" w:cs="宋体"/>
                <w:b/>
                <w:sz w:val="24"/>
                <w:szCs w:val="24"/>
              </w:rPr>
            </w:pPr>
            <w:r>
              <w:rPr>
                <w:rFonts w:hint="eastAsia" w:ascii="宋体" w:hAnsi="宋体" w:cs="宋体"/>
                <w:b/>
                <w:sz w:val="24"/>
                <w:szCs w:val="24"/>
              </w:rPr>
              <w:t>（8分）</w:t>
            </w:r>
          </w:p>
        </w:tc>
        <w:tc>
          <w:tcPr>
            <w:tcW w:w="9120" w:type="dxa"/>
            <w:vAlign w:val="center"/>
          </w:tcPr>
          <w:p>
            <w:pPr>
              <w:adjustRightInd w:val="0"/>
              <w:snapToGrid w:val="0"/>
              <w:spacing w:line="360" w:lineRule="exact"/>
              <w:jc w:val="left"/>
              <w:rPr>
                <w:rFonts w:hint="eastAsia" w:ascii="宋体" w:hAnsi="宋体" w:cs="宋体"/>
                <w:sz w:val="24"/>
              </w:rPr>
            </w:pPr>
            <w:r>
              <w:rPr>
                <w:rFonts w:hint="eastAsia" w:ascii="宋体" w:hAnsi="宋体" w:cs="宋体"/>
                <w:color w:val="000000"/>
                <w:sz w:val="24"/>
              </w:rPr>
              <w:t>（1）提供自20</w:t>
            </w:r>
            <w:r>
              <w:rPr>
                <w:rFonts w:ascii="宋体" w:hAnsi="宋体" w:cs="宋体"/>
                <w:color w:val="000000"/>
                <w:sz w:val="24"/>
              </w:rPr>
              <w:t>21</w:t>
            </w:r>
            <w:r>
              <w:rPr>
                <w:rFonts w:hint="eastAsia" w:ascii="宋体" w:hAnsi="宋体" w:cs="宋体"/>
                <w:color w:val="000000"/>
                <w:sz w:val="24"/>
              </w:rPr>
              <w:t>以来</w:t>
            </w:r>
            <w:r>
              <w:rPr>
                <w:rFonts w:hint="eastAsia" w:ascii="宋体" w:hAnsi="宋体"/>
                <w:sz w:val="24"/>
                <w:szCs w:val="24"/>
              </w:rPr>
              <w:t>（以合同签订时间为准）</w:t>
            </w:r>
            <w:r>
              <w:rPr>
                <w:rFonts w:hint="eastAsia" w:ascii="宋体" w:hAnsi="宋体" w:cs="宋体"/>
                <w:color w:val="000000"/>
                <w:sz w:val="24"/>
              </w:rPr>
              <w:t>与企事业单位签订的植物租赁业绩</w:t>
            </w:r>
            <w:r>
              <w:rPr>
                <w:rFonts w:hint="eastAsia" w:ascii="宋体" w:hAnsi="宋体" w:cs="宋体"/>
                <w:sz w:val="24"/>
              </w:rPr>
              <w:t>，合同有1个得1分，最高4分，同一服务单位不重复记分；</w:t>
            </w:r>
          </w:p>
          <w:p>
            <w:pPr>
              <w:adjustRightInd w:val="0"/>
              <w:snapToGrid w:val="0"/>
              <w:spacing w:line="360" w:lineRule="exact"/>
              <w:jc w:val="left"/>
              <w:rPr>
                <w:rFonts w:hint="eastAsia" w:ascii="宋体" w:hAnsi="宋体" w:cs="宋体"/>
                <w:sz w:val="24"/>
              </w:rPr>
            </w:pPr>
            <w:r>
              <w:rPr>
                <w:rFonts w:hint="eastAsia" w:ascii="宋体" w:hAnsi="宋体" w:cs="宋体"/>
                <w:sz w:val="24"/>
              </w:rPr>
              <w:t>（2）提供自2021以来</w:t>
            </w:r>
            <w:r>
              <w:rPr>
                <w:rFonts w:hint="eastAsia" w:ascii="宋体" w:hAnsi="宋体"/>
                <w:sz w:val="24"/>
                <w:szCs w:val="24"/>
              </w:rPr>
              <w:t>（以合同签订时间为准）</w:t>
            </w:r>
            <w:r>
              <w:rPr>
                <w:rFonts w:hint="eastAsia" w:ascii="宋体" w:hAnsi="宋体" w:cs="宋体"/>
                <w:sz w:val="24"/>
              </w:rPr>
              <w:t>与企事业单位签订的绿化养护业绩（不含绿化施工的缺陷责任期养护），合同有一个得1分，最高4分，同一服务单位不重复记分。</w:t>
            </w:r>
          </w:p>
          <w:p>
            <w:pPr>
              <w:adjustRightInd w:val="0"/>
              <w:snapToGrid w:val="0"/>
              <w:spacing w:line="360" w:lineRule="exact"/>
              <w:jc w:val="left"/>
              <w:rPr>
                <w:rFonts w:hint="eastAsia" w:ascii="宋体" w:hAnsi="宋体" w:cs="宋体"/>
                <w:bCs/>
                <w:sz w:val="24"/>
                <w:szCs w:val="24"/>
              </w:rPr>
            </w:pPr>
            <w:r>
              <w:rPr>
                <w:rFonts w:hint="eastAsia" w:ascii="宋体" w:hAnsi="宋体" w:cs="宋体"/>
                <w:sz w:val="24"/>
              </w:rPr>
              <w:t>以上须提供中标通知书、合同复印件及与合同相对应的部分发票复印件，提供不全不得分。本项最高8分。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trPr>
        <w:tc>
          <w:tcPr>
            <w:tcW w:w="1665" w:type="dxa"/>
            <w:tcBorders>
              <w:right w:val="single" w:color="auto" w:sz="4" w:space="0"/>
            </w:tcBorders>
            <w:vAlign w:val="center"/>
          </w:tcPr>
          <w:p>
            <w:pPr>
              <w:adjustRightInd w:val="0"/>
              <w:snapToGrid w:val="0"/>
              <w:spacing w:line="360" w:lineRule="exact"/>
              <w:jc w:val="center"/>
              <w:rPr>
                <w:rFonts w:ascii="宋体" w:cs="宋体"/>
                <w:b/>
                <w:sz w:val="24"/>
                <w:szCs w:val="24"/>
              </w:rPr>
            </w:pPr>
            <w:r>
              <w:rPr>
                <w:rFonts w:hint="eastAsia" w:ascii="宋体" w:hAnsi="宋体" w:cs="宋体"/>
                <w:b/>
                <w:sz w:val="24"/>
                <w:szCs w:val="24"/>
              </w:rPr>
              <w:t>养护人员专业能力</w:t>
            </w:r>
          </w:p>
          <w:p>
            <w:pPr>
              <w:adjustRightInd w:val="0"/>
              <w:snapToGrid w:val="0"/>
              <w:spacing w:line="360" w:lineRule="exact"/>
              <w:jc w:val="center"/>
              <w:rPr>
                <w:rFonts w:ascii="宋体" w:cs="宋体"/>
                <w:b/>
                <w:sz w:val="24"/>
                <w:szCs w:val="24"/>
                <w:lang w:val="zh-CN"/>
              </w:rPr>
            </w:pPr>
            <w:r>
              <w:rPr>
                <w:rFonts w:hint="eastAsia" w:ascii="宋体" w:hAnsi="宋体" w:cs="宋体"/>
                <w:b/>
                <w:sz w:val="24"/>
                <w:szCs w:val="24"/>
              </w:rPr>
              <w:t>（4分）</w:t>
            </w:r>
          </w:p>
        </w:tc>
        <w:tc>
          <w:tcPr>
            <w:tcW w:w="9120" w:type="dxa"/>
            <w:tcBorders>
              <w:left w:val="single" w:color="auto" w:sz="4" w:space="0"/>
            </w:tcBorders>
            <w:vAlign w:val="center"/>
          </w:tcPr>
          <w:p>
            <w:pPr>
              <w:adjustRightInd w:val="0"/>
              <w:snapToGrid w:val="0"/>
              <w:spacing w:line="360" w:lineRule="exact"/>
              <w:rPr>
                <w:rFonts w:hint="eastAsia" w:ascii="宋体" w:hAnsi="宋体" w:cs="宋体"/>
                <w:sz w:val="24"/>
              </w:rPr>
            </w:pPr>
            <w:r>
              <w:rPr>
                <w:rFonts w:hint="eastAsia" w:ascii="宋体" w:hAnsi="宋体" w:cs="宋体"/>
                <w:sz w:val="24"/>
              </w:rPr>
              <w:t>1、养护人员（除项目负责人）具有绿化工或花卉工初级及以上职业技能证书的，有一人得1分，最高得4分。</w:t>
            </w:r>
          </w:p>
          <w:p>
            <w:pPr>
              <w:adjustRightInd w:val="0"/>
              <w:snapToGrid w:val="0"/>
              <w:spacing w:line="360" w:lineRule="exact"/>
            </w:pPr>
            <w:r>
              <w:rPr>
                <w:rFonts w:hint="eastAsia" w:ascii="宋体" w:hAnsi="宋体" w:cs="宋体"/>
                <w:sz w:val="24"/>
              </w:rPr>
              <w:t>投供的相关证书复印件及2024年以来任意一个月投标人为其缴纳的由社保机构出具的养老保险缴纳凭证复印件并加盖单位公章，否则不得分。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trPr>
        <w:tc>
          <w:tcPr>
            <w:tcW w:w="1665" w:type="dxa"/>
            <w:tcBorders>
              <w:right w:val="single" w:color="auto" w:sz="4" w:space="0"/>
            </w:tcBorders>
            <w:vAlign w:val="center"/>
          </w:tcPr>
          <w:p>
            <w:pPr>
              <w:widowControl/>
              <w:adjustRightInd w:val="0"/>
              <w:snapToGrid w:val="0"/>
              <w:spacing w:line="360" w:lineRule="exact"/>
              <w:jc w:val="center"/>
              <w:rPr>
                <w:rFonts w:hint="eastAsia" w:ascii="宋体" w:hAnsi="宋体" w:cs="宋体"/>
                <w:b/>
                <w:bCs/>
                <w:sz w:val="24"/>
                <w:szCs w:val="24"/>
              </w:rPr>
            </w:pPr>
            <w:r>
              <w:rPr>
                <w:rFonts w:hint="eastAsia" w:ascii="宋体" w:hAnsi="宋体" w:cs="宋体"/>
                <w:b/>
                <w:bCs/>
                <w:sz w:val="24"/>
                <w:szCs w:val="24"/>
              </w:rPr>
              <w:t>绿化养护服务方案</w:t>
            </w:r>
          </w:p>
          <w:p>
            <w:pPr>
              <w:adjustRightInd w:val="0"/>
              <w:snapToGrid w:val="0"/>
              <w:spacing w:line="360" w:lineRule="exact"/>
              <w:jc w:val="center"/>
              <w:rPr>
                <w:rFonts w:hint="eastAsia" w:ascii="宋体" w:hAnsi="宋体" w:cs="宋体"/>
                <w:b/>
                <w:sz w:val="24"/>
                <w:szCs w:val="24"/>
              </w:rPr>
            </w:pPr>
            <w:r>
              <w:rPr>
                <w:rFonts w:hint="eastAsia" w:ascii="宋体" w:hAnsi="宋体" w:cs="宋体"/>
                <w:b/>
                <w:bCs/>
                <w:sz w:val="24"/>
                <w:szCs w:val="24"/>
              </w:rPr>
              <w:t>（22分）</w:t>
            </w:r>
          </w:p>
        </w:tc>
        <w:tc>
          <w:tcPr>
            <w:tcW w:w="9120" w:type="dxa"/>
            <w:tcBorders>
              <w:left w:val="single" w:color="auto" w:sz="4" w:space="0"/>
            </w:tcBorders>
            <w:vAlign w:val="center"/>
          </w:tcPr>
          <w:p>
            <w:pPr>
              <w:adjustRightInd w:val="0"/>
              <w:snapToGrid w:val="0"/>
              <w:spacing w:line="360" w:lineRule="exact"/>
              <w:rPr>
                <w:rFonts w:hint="eastAsia" w:ascii="宋体" w:hAnsi="宋体" w:cs="宋体"/>
                <w:sz w:val="24"/>
                <w:szCs w:val="24"/>
              </w:rPr>
            </w:pPr>
            <w:r>
              <w:rPr>
                <w:rFonts w:hint="eastAsia" w:ascii="宋体" w:hAnsi="宋体" w:cs="宋体"/>
                <w:sz w:val="24"/>
                <w:szCs w:val="24"/>
              </w:rPr>
              <w:t>（1）项目认识深刻、全面、切合实际，目标明确，响应磋商文件实质性要求，4分≤优≤5分，2分≤良≤3分，0分≤一般≤1分，未描述不得分，本项最高得5分。</w:t>
            </w:r>
          </w:p>
          <w:p>
            <w:pPr>
              <w:pStyle w:val="16"/>
              <w:adjustRightInd w:val="0"/>
              <w:snapToGrid w:val="0"/>
              <w:spacing w:line="360" w:lineRule="exact"/>
              <w:rPr>
                <w:rFonts w:hint="eastAsia" w:ascii="宋体" w:hAnsi="宋体" w:cs="宋体"/>
                <w:szCs w:val="24"/>
              </w:rPr>
            </w:pPr>
            <w:r>
              <w:rPr>
                <w:rFonts w:hint="eastAsia" w:ascii="宋体" w:hAnsi="宋体" w:cs="宋体"/>
                <w:szCs w:val="24"/>
              </w:rPr>
              <w:t>（2）组织健全、管理科学、体系完整、可操作性强，拟定人员培训与管理、加强人员稳定性措施，4分≤优≤5分，2分≤良≤3分，0分≤一般≤1分，未描述不得分，本项最高得5分。</w:t>
            </w:r>
          </w:p>
          <w:p>
            <w:pPr>
              <w:pStyle w:val="41"/>
              <w:adjustRightInd w:val="0"/>
              <w:snapToGrid w:val="0"/>
              <w:spacing w:line="360" w:lineRule="exact"/>
              <w:rPr>
                <w:rFonts w:hint="eastAsia" w:cs="宋体"/>
                <w:szCs w:val="24"/>
              </w:rPr>
            </w:pPr>
            <w:r>
              <w:rPr>
                <w:rFonts w:hint="eastAsia" w:cs="宋体"/>
                <w:szCs w:val="24"/>
              </w:rPr>
              <w:t>（3）质量、安全、文明管护方案全面合理，4分≤优≤5分，2分≤良≤3分，0分≤一般≤1分，未描述不得分，本项最高得5分。</w:t>
            </w:r>
          </w:p>
          <w:p>
            <w:pPr>
              <w:pStyle w:val="41"/>
              <w:adjustRightInd w:val="0"/>
              <w:snapToGrid w:val="0"/>
              <w:spacing w:line="360" w:lineRule="exact"/>
              <w:rPr>
                <w:rFonts w:hint="eastAsia" w:cs="宋体"/>
                <w:szCs w:val="24"/>
              </w:rPr>
            </w:pPr>
            <w:r>
              <w:rPr>
                <w:rFonts w:hint="eastAsia" w:cs="宋体"/>
                <w:szCs w:val="24"/>
              </w:rPr>
              <w:t>（4）对关键性环节及重点、难点分析和解决方法分析全面、措施合理（冬、雨季节的养护措施；特殊天气（如台风、暴雪等）的应急方案与措施等；重要节假日的绿植租摆方案等；突发性事件应急处理措施等），4分≤优≤5分，2分≤良≤3分，0分≤一般≤1分，未描述不得分，本项最高得5分。</w:t>
            </w:r>
          </w:p>
          <w:p>
            <w:pPr>
              <w:pStyle w:val="41"/>
              <w:adjustRightInd w:val="0"/>
              <w:snapToGrid w:val="0"/>
              <w:spacing w:line="360" w:lineRule="exact"/>
              <w:rPr>
                <w:rFonts w:hint="eastAsia" w:cs="宋体"/>
                <w:szCs w:val="24"/>
              </w:rPr>
            </w:pPr>
            <w:r>
              <w:rPr>
                <w:rFonts w:hint="eastAsia" w:cs="宋体"/>
                <w:szCs w:val="24"/>
              </w:rPr>
              <w:t>（5）所提建议有利养护管理工作的开展，切实可行、科学合理的，每有一项得</w:t>
            </w:r>
            <w:r>
              <w:rPr>
                <w:rFonts w:cs="宋体"/>
                <w:szCs w:val="24"/>
              </w:rPr>
              <w:t>0.5</w:t>
            </w:r>
            <w:r>
              <w:rPr>
                <w:rFonts w:hint="eastAsia" w:cs="宋体"/>
                <w:szCs w:val="24"/>
              </w:rPr>
              <w:t>分，最多不超过2分。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trPr>
        <w:tc>
          <w:tcPr>
            <w:tcW w:w="1665" w:type="dxa"/>
            <w:tcBorders>
              <w:right w:val="single" w:color="auto" w:sz="4" w:space="0"/>
            </w:tcBorders>
            <w:vAlign w:val="center"/>
          </w:tcPr>
          <w:p>
            <w:pPr>
              <w:widowControl/>
              <w:adjustRightInd w:val="0"/>
              <w:snapToGrid w:val="0"/>
              <w:spacing w:line="360" w:lineRule="exact"/>
              <w:jc w:val="center"/>
              <w:rPr>
                <w:rFonts w:hint="eastAsia" w:ascii="宋体" w:hAnsi="宋体" w:cs="宋体"/>
                <w:b/>
                <w:bCs/>
                <w:sz w:val="24"/>
                <w:szCs w:val="24"/>
              </w:rPr>
            </w:pPr>
            <w:r>
              <w:rPr>
                <w:rFonts w:hint="eastAsia" w:ascii="宋体" w:hAnsi="宋体" w:cs="宋体"/>
                <w:b/>
                <w:bCs/>
                <w:sz w:val="24"/>
                <w:szCs w:val="24"/>
              </w:rPr>
              <w:t>绿植租摆养护方案</w:t>
            </w:r>
          </w:p>
          <w:p>
            <w:pPr>
              <w:widowControl/>
              <w:adjustRightInd w:val="0"/>
              <w:snapToGrid w:val="0"/>
              <w:spacing w:line="360" w:lineRule="exact"/>
              <w:jc w:val="center"/>
              <w:rPr>
                <w:rFonts w:hint="eastAsia" w:ascii="宋体" w:hAnsi="宋体" w:cs="宋体"/>
                <w:sz w:val="24"/>
                <w:szCs w:val="24"/>
              </w:rPr>
            </w:pPr>
            <w:r>
              <w:rPr>
                <w:rFonts w:hint="eastAsia" w:ascii="宋体" w:hAnsi="宋体" w:cs="宋体"/>
                <w:b/>
                <w:bCs/>
                <w:sz w:val="24"/>
                <w:szCs w:val="24"/>
              </w:rPr>
              <w:t>（22分）</w:t>
            </w:r>
          </w:p>
        </w:tc>
        <w:tc>
          <w:tcPr>
            <w:tcW w:w="9120" w:type="dxa"/>
            <w:tcBorders>
              <w:left w:val="single" w:color="auto" w:sz="4" w:space="0"/>
            </w:tcBorders>
            <w:vAlign w:val="center"/>
          </w:tcPr>
          <w:p>
            <w:pPr>
              <w:widowControl/>
              <w:adjustRightInd w:val="0"/>
              <w:snapToGrid w:val="0"/>
              <w:spacing w:line="360" w:lineRule="exact"/>
              <w:jc w:val="left"/>
              <w:rPr>
                <w:rFonts w:hint="eastAsia" w:ascii="宋体" w:hAnsi="宋体" w:cs="宋体"/>
                <w:sz w:val="24"/>
                <w:szCs w:val="24"/>
              </w:rPr>
            </w:pPr>
            <w:r>
              <w:rPr>
                <w:rFonts w:hint="eastAsia" w:ascii="宋体" w:hAnsi="宋体" w:cs="宋体"/>
                <w:sz w:val="24"/>
                <w:szCs w:val="24"/>
              </w:rPr>
              <w:t>供应商根据本项目的需求提供绿植的日常养护计划及服务质量承诺。</w:t>
            </w:r>
          </w:p>
          <w:p>
            <w:pPr>
              <w:adjustRightInd w:val="0"/>
              <w:snapToGrid w:val="0"/>
              <w:spacing w:line="360" w:lineRule="exact"/>
              <w:rPr>
                <w:rFonts w:hint="eastAsia" w:ascii="宋体" w:hAnsi="宋体"/>
                <w:color w:val="000000"/>
                <w:sz w:val="24"/>
              </w:rPr>
            </w:pPr>
            <w:r>
              <w:rPr>
                <w:rFonts w:hint="eastAsia" w:ascii="宋体" w:hAnsi="宋体" w:cs="宋体"/>
                <w:sz w:val="24"/>
              </w:rPr>
              <w:t>1、现场绿植摆放布置方案</w:t>
            </w:r>
            <w:r>
              <w:rPr>
                <w:rFonts w:hint="eastAsia" w:ascii="宋体" w:hAnsi="宋体"/>
                <w:color w:val="000000"/>
                <w:sz w:val="24"/>
              </w:rPr>
              <w:t>、节假日临时花卉布置方案等</w:t>
            </w:r>
            <w:r>
              <w:rPr>
                <w:rFonts w:hint="eastAsia" w:ascii="宋体" w:hAnsi="宋体" w:cs="宋体"/>
                <w:sz w:val="24"/>
              </w:rPr>
              <w:t>。</w:t>
            </w:r>
            <w:r>
              <w:rPr>
                <w:rFonts w:hint="eastAsia" w:ascii="宋体" w:hAnsi="宋体"/>
                <w:color w:val="000000"/>
                <w:sz w:val="24"/>
              </w:rPr>
              <w:t>（满分8分，优得8分、良得6分、一般者得4分）。</w:t>
            </w:r>
          </w:p>
          <w:p>
            <w:pPr>
              <w:adjustRightInd w:val="0"/>
              <w:snapToGrid w:val="0"/>
              <w:spacing w:line="360" w:lineRule="exact"/>
              <w:jc w:val="left"/>
              <w:rPr>
                <w:rFonts w:hint="eastAsia" w:ascii="宋体" w:hAnsi="宋体"/>
                <w:color w:val="000000"/>
                <w:sz w:val="24"/>
              </w:rPr>
            </w:pPr>
            <w:r>
              <w:rPr>
                <w:rFonts w:ascii="宋体" w:hAnsi="宋体"/>
                <w:color w:val="000000"/>
                <w:sz w:val="24"/>
              </w:rPr>
              <w:t>2</w:t>
            </w:r>
            <w:r>
              <w:rPr>
                <w:rFonts w:hint="eastAsia" w:ascii="宋体" w:hAnsi="宋体"/>
                <w:color w:val="000000"/>
                <w:sz w:val="24"/>
              </w:rPr>
              <w:t>、日常养护计划及服务承诺、人员组织方案及品质保证。（满分8分，优得8分、良得6分、一般者得4分）。</w:t>
            </w:r>
          </w:p>
          <w:p>
            <w:pPr>
              <w:widowControl/>
              <w:adjustRightInd w:val="0"/>
              <w:snapToGrid w:val="0"/>
              <w:spacing w:line="360" w:lineRule="exact"/>
              <w:jc w:val="left"/>
              <w:rPr>
                <w:rFonts w:hint="eastAsia" w:ascii="宋体" w:hAnsi="宋体" w:cs="宋体"/>
                <w:sz w:val="24"/>
                <w:szCs w:val="24"/>
              </w:rPr>
            </w:pPr>
            <w:r>
              <w:rPr>
                <w:rFonts w:hint="eastAsia" w:ascii="宋体" w:hAnsi="宋体"/>
                <w:color w:val="000000"/>
                <w:sz w:val="24"/>
              </w:rPr>
              <w:t>3、提供增值服务内容及质量。（满分</w:t>
            </w:r>
            <w:r>
              <w:rPr>
                <w:rFonts w:hint="eastAsia" w:ascii="宋体" w:hAnsi="宋体"/>
                <w:sz w:val="24"/>
              </w:rPr>
              <w:t>6分</w:t>
            </w:r>
            <w:r>
              <w:rPr>
                <w:rFonts w:hint="eastAsia" w:ascii="宋体" w:hAnsi="宋体"/>
                <w:color w:val="000000"/>
                <w:sz w:val="24"/>
              </w:rPr>
              <w:t>，优得6分、良得4分、一般者得2分）。</w:t>
            </w:r>
          </w:p>
        </w:tc>
      </w:tr>
    </w:tbl>
    <w:p>
      <w:pPr>
        <w:snapToGrid w:val="0"/>
        <w:spacing w:line="480" w:lineRule="exact"/>
        <w:ind w:firstLine="480" w:firstLineChars="200"/>
        <w:outlineLvl w:val="1"/>
        <w:rPr>
          <w:rFonts w:hint="eastAsia" w:ascii="宋体" w:hAnsi="宋体" w:cs="宋体"/>
          <w:sz w:val="24"/>
          <w:szCs w:val="24"/>
        </w:rPr>
      </w:pPr>
      <w:r>
        <w:rPr>
          <w:rFonts w:hint="eastAsia" w:ascii="宋体" w:hAnsi="宋体" w:cs="宋体"/>
          <w:sz w:val="24"/>
          <w:szCs w:val="24"/>
        </w:rPr>
        <w:t>以上评审项涉及证书、合同等证明材料的，均需提供相关证明材料的复印件并加盖投标供应商公章。</w:t>
      </w:r>
    </w:p>
    <w:p>
      <w:pPr>
        <w:snapToGrid w:val="0"/>
        <w:spacing w:line="480" w:lineRule="exact"/>
        <w:ind w:firstLine="482" w:firstLineChars="200"/>
        <w:outlineLvl w:val="1"/>
        <w:rPr>
          <w:rFonts w:ascii="宋体" w:cs="宋体"/>
          <w:b/>
          <w:sz w:val="24"/>
          <w:szCs w:val="24"/>
        </w:rPr>
      </w:pPr>
      <w:r>
        <w:rPr>
          <w:rFonts w:hint="eastAsia" w:ascii="宋体" w:hAnsi="宋体" w:cs="宋体"/>
          <w:b/>
          <w:sz w:val="24"/>
          <w:szCs w:val="24"/>
        </w:rPr>
        <w:t>（二）商务报价响应评分：（30分）</w:t>
      </w:r>
    </w:p>
    <w:p>
      <w:pPr>
        <w:adjustRightInd w:val="0"/>
        <w:snapToGrid w:val="0"/>
        <w:spacing w:line="480" w:lineRule="exact"/>
        <w:ind w:firstLine="482" w:firstLineChars="200"/>
        <w:rPr>
          <w:rFonts w:ascii="宋体" w:cs="宋体"/>
          <w:sz w:val="24"/>
          <w:szCs w:val="24"/>
        </w:rPr>
      </w:pPr>
      <w:bookmarkStart w:id="60" w:name="_Hlk69391943"/>
      <w:r>
        <w:rPr>
          <w:rFonts w:ascii="宋体" w:hAnsi="宋体" w:cs="宋体"/>
          <w:b/>
          <w:sz w:val="24"/>
          <w:szCs w:val="24"/>
        </w:rPr>
        <w:t>1</w:t>
      </w:r>
      <w:r>
        <w:rPr>
          <w:rFonts w:hint="eastAsia" w:ascii="宋体" w:hAnsi="宋体" w:cs="宋体"/>
          <w:b/>
          <w:sz w:val="24"/>
          <w:szCs w:val="24"/>
        </w:rPr>
        <w:t>、本次项目最高限价：16.5万元，超过限价作无效标处理</w:t>
      </w:r>
      <w:r>
        <w:rPr>
          <w:rFonts w:hint="eastAsia" w:ascii="宋体" w:hAnsi="宋体" w:cs="宋体"/>
          <w:sz w:val="24"/>
          <w:szCs w:val="24"/>
        </w:rPr>
        <w:t>。</w:t>
      </w:r>
    </w:p>
    <w:p>
      <w:pPr>
        <w:snapToGrid w:val="0"/>
        <w:spacing w:line="480" w:lineRule="exact"/>
        <w:ind w:firstLine="482" w:firstLineChars="200"/>
        <w:rPr>
          <w:rFonts w:hint="eastAsia" w:ascii="宋体" w:hAnsi="宋体" w:cs="宋体"/>
          <w:sz w:val="24"/>
          <w:szCs w:val="24"/>
        </w:rPr>
      </w:pPr>
      <w:r>
        <w:rPr>
          <w:rFonts w:ascii="宋体" w:hAnsi="宋体" w:cs="宋体"/>
          <w:b/>
          <w:bCs/>
          <w:sz w:val="24"/>
          <w:szCs w:val="24"/>
        </w:rPr>
        <w:t>2</w:t>
      </w:r>
      <w:r>
        <w:rPr>
          <w:rFonts w:hint="eastAsia" w:ascii="宋体" w:hAnsi="宋体" w:cs="宋体"/>
          <w:b/>
          <w:bCs/>
          <w:sz w:val="24"/>
          <w:szCs w:val="24"/>
        </w:rPr>
        <w:t>、</w:t>
      </w:r>
      <w:r>
        <w:rPr>
          <w:rFonts w:hint="eastAsia" w:ascii="宋体" w:hAnsi="宋体" w:cs="宋体"/>
          <w:sz w:val="24"/>
          <w:szCs w:val="24"/>
        </w:rPr>
        <w:t>商务报价得分统一采用低价优先法计算，即满足招标文件要求且最终投标价格最低的投标报价为评标基准价，其商务报价得分为满分30分。</w:t>
      </w:r>
    </w:p>
    <w:p>
      <w:pPr>
        <w:snapToGrid w:val="0"/>
        <w:spacing w:line="480" w:lineRule="exact"/>
        <w:ind w:firstLine="482" w:firstLineChars="200"/>
        <w:rPr>
          <w:rFonts w:hint="eastAsia" w:ascii="宋体" w:hAnsi="宋体" w:cs="宋体"/>
          <w:sz w:val="24"/>
          <w:szCs w:val="24"/>
        </w:rPr>
      </w:pPr>
      <w:r>
        <w:rPr>
          <w:rFonts w:hint="eastAsia" w:ascii="宋体" w:hAnsi="宋体" w:cs="宋体"/>
          <w:b/>
          <w:bCs/>
          <w:sz w:val="24"/>
          <w:szCs w:val="24"/>
        </w:rPr>
        <w:t>3、其他投标供应商的商务报价分统一按照下列公式计算</w:t>
      </w:r>
      <w:r>
        <w:rPr>
          <w:rFonts w:hint="eastAsia" w:ascii="宋体" w:hAnsi="宋体" w:cs="宋体"/>
          <w:sz w:val="24"/>
          <w:szCs w:val="24"/>
        </w:rPr>
        <w:t>：</w:t>
      </w:r>
    </w:p>
    <w:p>
      <w:pPr>
        <w:snapToGrid w:val="0"/>
        <w:spacing w:line="440" w:lineRule="exact"/>
        <w:ind w:firstLine="570"/>
        <w:rPr>
          <w:rFonts w:hint="eastAsia" w:ascii="宋体" w:hAnsi="宋体" w:cs="仿宋"/>
          <w:b/>
          <w:sz w:val="24"/>
          <w:szCs w:val="24"/>
        </w:rPr>
      </w:pPr>
      <w:r>
        <w:rPr>
          <w:rFonts w:hint="eastAsia" w:ascii="宋体" w:hAnsi="宋体" w:cs="仿宋"/>
          <w:b/>
          <w:sz w:val="24"/>
          <w:szCs w:val="24"/>
        </w:rPr>
        <w:t>商务报价得分=（评标基准价/最终磋商报价）×30</w:t>
      </w:r>
    </w:p>
    <w:p>
      <w:pPr>
        <w:snapToGrid w:val="0"/>
        <w:spacing w:line="440" w:lineRule="exact"/>
        <w:ind w:firstLine="570"/>
        <w:rPr>
          <w:rFonts w:hint="eastAsia" w:ascii="宋体" w:hAnsi="宋体" w:cs="Calibri"/>
          <w:b/>
          <w:bCs/>
          <w:sz w:val="24"/>
          <w:szCs w:val="24"/>
        </w:rPr>
      </w:pPr>
      <w:r>
        <w:rPr>
          <w:rFonts w:ascii="宋体" w:hAnsi="宋体" w:cs="Calibri"/>
          <w:b/>
          <w:bCs/>
          <w:sz w:val="24"/>
          <w:szCs w:val="24"/>
        </w:rPr>
        <w:t>（三）</w:t>
      </w:r>
      <w:r>
        <w:rPr>
          <w:rFonts w:hint="eastAsia" w:ascii="宋体" w:hAnsi="宋体" w:cs="Calibri"/>
          <w:b/>
          <w:bCs/>
          <w:sz w:val="24"/>
          <w:szCs w:val="24"/>
        </w:rPr>
        <w:t>定标：商务报价标得分加技术标得分之和为各投标供应商的综合得分，综合得分最高者为成交第一候选人。</w:t>
      </w:r>
    </w:p>
    <w:p>
      <w:pPr>
        <w:snapToGrid w:val="0"/>
        <w:spacing w:line="440" w:lineRule="exact"/>
        <w:ind w:firstLine="570"/>
        <w:rPr>
          <w:rFonts w:hint="eastAsia" w:ascii="宋体" w:hAnsi="宋体" w:cs="Calibri"/>
          <w:b/>
          <w:bCs/>
          <w:sz w:val="24"/>
          <w:szCs w:val="24"/>
        </w:rPr>
      </w:pPr>
      <w:r>
        <w:rPr>
          <w:rFonts w:hint="eastAsia" w:ascii="宋体" w:hAnsi="宋体" w:cs="Calibri"/>
          <w:b/>
          <w:bCs/>
          <w:sz w:val="24"/>
          <w:szCs w:val="24"/>
        </w:rPr>
        <w:t>本项目授权评审小组确定成交供应商。</w:t>
      </w:r>
    </w:p>
    <w:bookmarkEnd w:id="60"/>
    <w:p>
      <w:pPr>
        <w:snapToGrid w:val="0"/>
        <w:spacing w:line="480" w:lineRule="exact"/>
        <w:ind w:firstLine="482" w:firstLineChars="200"/>
        <w:outlineLvl w:val="1"/>
        <w:rPr>
          <w:rFonts w:ascii="宋体" w:cs="宋体"/>
          <w:b/>
          <w:sz w:val="24"/>
          <w:szCs w:val="24"/>
        </w:rPr>
      </w:pPr>
      <w:r>
        <w:rPr>
          <w:rFonts w:hint="eastAsia" w:ascii="宋体" w:hAnsi="宋体" w:cs="宋体"/>
          <w:b/>
          <w:sz w:val="24"/>
          <w:szCs w:val="24"/>
        </w:rPr>
        <w:t>六、出现下列情形之一的，作无效响应处理</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48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480" w:lineRule="exact"/>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480" w:lineRule="exact"/>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、磋商响应报价超出项目预算或最高限价的；</w:t>
      </w:r>
    </w:p>
    <w:p>
      <w:pPr>
        <w:snapToGrid w:val="0"/>
        <w:spacing w:line="480" w:lineRule="exact"/>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480" w:lineRule="exact"/>
        <w:ind w:firstLine="480" w:firstLineChars="200"/>
        <w:rPr>
          <w:rFonts w:hint="eastAsia" w:ascii="宋体" w:hAnsi="宋体" w:cs="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480" w:lineRule="exact"/>
        <w:ind w:firstLine="480" w:firstLineChars="200"/>
        <w:rPr>
          <w:rFonts w:ascii="宋体" w:cs="宋体"/>
          <w:sz w:val="24"/>
          <w:szCs w:val="24"/>
        </w:rPr>
      </w:pPr>
      <w:r>
        <w:rPr>
          <w:rFonts w:hint="eastAsia" w:ascii="宋体" w:hAnsi="宋体" w:cs="宋体"/>
          <w:sz w:val="24"/>
          <w:szCs w:val="24"/>
        </w:rPr>
        <w:t>10、</w:t>
      </w:r>
      <w:r>
        <w:rPr>
          <w:rFonts w:hint="eastAsia" w:cs="宋体" w:asciiTheme="majorEastAsia" w:hAnsiTheme="majorEastAsia" w:eastAsiaTheme="majorEastAsia"/>
          <w:kern w:val="0"/>
          <w:sz w:val="24"/>
          <w:szCs w:val="24"/>
        </w:rPr>
        <w:t>被“信用中国”网站（www.creditchina.gov.cn）列入失信被执行人、重大税收违法案件当事人名单、政府采购严重失信行为记录名单；</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1、不符合法律、法规和磋商文件中规定的其他实质性响应要求的；</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2、磋商小组依据法律法规可以认定为无效投标的其他情况。</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七、出现下列情形之一的，作废标处理</w:t>
      </w:r>
    </w:p>
    <w:p>
      <w:pPr>
        <w:snapToGrid w:val="0"/>
        <w:spacing w:line="48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48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48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48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、因重大变故，采购任务取消的；</w:t>
      </w:r>
    </w:p>
    <w:p>
      <w:pPr>
        <w:snapToGrid w:val="0"/>
        <w:spacing w:line="480" w:lineRule="exact"/>
        <w:ind w:firstLine="480" w:firstLineChars="200"/>
        <w:rPr>
          <w:rFonts w:ascii="宋体"/>
          <w:sz w:val="24"/>
          <w:szCs w:val="24"/>
        </w:rPr>
      </w:pPr>
      <w:r>
        <w:rPr>
          <w:rFonts w:hint="eastAsia" w:ascii="宋体" w:hAnsi="宋体" w:cs="宋体"/>
          <w:sz w:val="24"/>
          <w:szCs w:val="24"/>
        </w:rPr>
        <w:t>5、符合资格条件或者对磋商文件作实质响应的投标供应商不足</w:t>
      </w:r>
      <w:r>
        <w:rPr>
          <w:rFonts w:ascii="宋体" w:hAnsi="宋体" w:cs="宋体"/>
          <w:sz w:val="24"/>
          <w:szCs w:val="24"/>
        </w:rPr>
        <w:t>3</w:t>
      </w:r>
      <w:r>
        <w:rPr>
          <w:rFonts w:hint="eastAsia" w:ascii="宋体" w:hAnsi="宋体" w:cs="宋体"/>
          <w:sz w:val="24"/>
          <w:szCs w:val="24"/>
        </w:rPr>
        <w:t>家的；</w:t>
      </w:r>
    </w:p>
    <w:p>
      <w:pPr>
        <w:snapToGrid w:val="0"/>
        <w:spacing w:line="480" w:lineRule="exact"/>
        <w:ind w:firstLine="480" w:firstLineChars="200"/>
        <w:rPr>
          <w:rFonts w:ascii="宋体" w:cs="宋体"/>
          <w:sz w:val="24"/>
          <w:szCs w:val="24"/>
        </w:rPr>
      </w:pPr>
      <w:r>
        <w:rPr>
          <w:rFonts w:hint="eastAsia" w:ascii="宋体" w:hAnsi="宋体" w:cs="宋体"/>
          <w:sz w:val="24"/>
          <w:szCs w:val="24"/>
        </w:rPr>
        <w:t>6、磋商小组依据法律法规可以认定为废标的其他情况。</w:t>
      </w:r>
    </w:p>
    <w:p>
      <w:pPr>
        <w:snapToGrid w:val="0"/>
        <w:spacing w:line="480" w:lineRule="exact"/>
        <w:ind w:firstLine="482" w:firstLineChars="200"/>
        <w:outlineLvl w:val="1"/>
        <w:rPr>
          <w:rFonts w:ascii="宋体" w:cs="宋体"/>
          <w:b/>
          <w:color w:val="000000"/>
          <w:sz w:val="24"/>
          <w:szCs w:val="24"/>
        </w:rPr>
      </w:pPr>
      <w:r>
        <w:rPr>
          <w:rFonts w:hint="eastAsia" w:ascii="宋体" w:hAnsi="宋体" w:cs="宋体"/>
          <w:b/>
          <w:color w:val="000000"/>
          <w:sz w:val="24"/>
          <w:szCs w:val="24"/>
        </w:rPr>
        <w:t>八、成交通知</w:t>
      </w:r>
    </w:p>
    <w:bookmarkEnd w:id="51"/>
    <w:bookmarkEnd w:id="52"/>
    <w:bookmarkEnd w:id="53"/>
    <w:bookmarkEnd w:id="54"/>
    <w:bookmarkEnd w:id="55"/>
    <w:bookmarkEnd w:id="56"/>
    <w:bookmarkEnd w:id="57"/>
    <w:bookmarkEnd w:id="58"/>
    <w:p>
      <w:pPr>
        <w:spacing w:line="480" w:lineRule="exact"/>
        <w:ind w:firstLine="480" w:firstLineChars="200"/>
        <w:rPr>
          <w:rFonts w:ascii="宋体" w:cs="宋体"/>
          <w:kern w:val="0"/>
          <w:sz w:val="24"/>
          <w:szCs w:val="24"/>
        </w:rPr>
      </w:pPr>
      <w:bookmarkStart w:id="61" w:name="_Toc363573858"/>
      <w:bookmarkStart w:id="62" w:name="_Toc94585343"/>
      <w:r>
        <w:rPr>
          <w:rFonts w:hint="eastAsia"/>
          <w:kern w:val="0"/>
          <w:sz w:val="24"/>
          <w:szCs w:val="24"/>
        </w:rPr>
        <w:t>成交结果在南通市文化广电和旅游局网站、</w:t>
      </w:r>
      <w:r>
        <w:rPr>
          <w:rFonts w:hint="eastAsia" w:ascii="宋体" w:hAnsi="宋体" w:cs="Arial"/>
          <w:kern w:val="0"/>
          <w:sz w:val="24"/>
          <w:szCs w:val="24"/>
        </w:rPr>
        <w:t>南通市文化馆</w:t>
      </w:r>
      <w:r>
        <w:rPr>
          <w:rFonts w:hint="eastAsia" w:ascii="宋体" w:cs="宋体"/>
          <w:sz w:val="24"/>
          <w:szCs w:val="24"/>
        </w:rPr>
        <w:t>网站</w:t>
      </w:r>
      <w:r>
        <w:rPr>
          <w:rFonts w:hint="eastAsia"/>
          <w:kern w:val="0"/>
          <w:sz w:val="24"/>
          <w:szCs w:val="24"/>
        </w:rPr>
        <w:t>公示</w:t>
      </w:r>
      <w:r>
        <w:rPr>
          <w:kern w:val="0"/>
          <w:sz w:val="24"/>
          <w:szCs w:val="24"/>
          <w:u w:val="single"/>
        </w:rPr>
        <w:t xml:space="preserve"> 1 </w:t>
      </w:r>
      <w:r>
        <w:rPr>
          <w:rFonts w:hint="eastAsia"/>
          <w:kern w:val="0"/>
          <w:sz w:val="24"/>
          <w:szCs w:val="24"/>
        </w:rPr>
        <w:t>个工作日。《成交通知书》一经发出，采购单位改变成交结果，或者供应商放弃成交的，各自承担相应的法律责任。《成交通知书》是采购合同的组成部分。</w:t>
      </w:r>
    </w:p>
    <w:p>
      <w:pPr>
        <w:pStyle w:val="2"/>
        <w:keepNext w:val="0"/>
        <w:keepLines w:val="0"/>
        <w:snapToGrid w:val="0"/>
        <w:spacing w:before="0" w:after="0" w:line="360" w:lineRule="auto"/>
        <w:jc w:val="center"/>
        <w:rPr>
          <w:rFonts w:ascii="宋体" w:cs="宋体"/>
          <w:color w:val="000000"/>
          <w:sz w:val="24"/>
          <w:szCs w:val="24"/>
        </w:rPr>
      </w:pPr>
      <w:r>
        <w:rPr>
          <w:rFonts w:ascii="宋体" w:hAnsi="宋体" w:cs="宋体"/>
          <w:color w:val="000000"/>
          <w:sz w:val="24"/>
          <w:szCs w:val="24"/>
        </w:rPr>
        <w:t xml:space="preserve"> </w:t>
      </w:r>
    </w:p>
    <w:p>
      <w:pPr>
        <w:pStyle w:val="22"/>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2"/>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2"/>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2"/>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2"/>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2"/>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2"/>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pPr>
        <w:pStyle w:val="22"/>
        <w:tabs>
          <w:tab w:val="left" w:pos="1050"/>
          <w:tab w:val="right" w:leader="dot" w:pos="9402"/>
        </w:tabs>
        <w:spacing w:line="520" w:lineRule="exact"/>
        <w:ind w:left="0"/>
        <w:jc w:val="center"/>
        <w:outlineLvl w:val="0"/>
        <w:rPr>
          <w:rFonts w:ascii="宋体" w:cs="宋体"/>
          <w:b/>
          <w:i w:val="0"/>
          <w:iCs/>
          <w:w w:val="80"/>
          <w:sz w:val="44"/>
          <w:szCs w:val="44"/>
        </w:rPr>
      </w:pPr>
      <w:r>
        <w:rPr>
          <w:rFonts w:hint="eastAsia" w:ascii="宋体" w:hAnsi="宋体" w:cs="宋体"/>
          <w:b/>
          <w:i w:val="0"/>
          <w:iCs/>
          <w:w w:val="80"/>
          <w:sz w:val="44"/>
          <w:szCs w:val="44"/>
        </w:rPr>
        <w:t>第五章</w:t>
      </w:r>
      <w:r>
        <w:rPr>
          <w:rFonts w:ascii="宋体" w:hAnsi="宋体" w:cs="宋体"/>
          <w:b/>
          <w:i w:val="0"/>
          <w:iCs/>
          <w:w w:val="80"/>
          <w:sz w:val="44"/>
          <w:szCs w:val="44"/>
        </w:rPr>
        <w:t xml:space="preserve">   </w:t>
      </w:r>
      <w:r>
        <w:rPr>
          <w:rFonts w:hint="eastAsia" w:ascii="宋体" w:hAnsi="宋体" w:cs="宋体"/>
          <w:b/>
          <w:i w:val="0"/>
          <w:iCs/>
          <w:w w:val="80"/>
          <w:sz w:val="44"/>
          <w:szCs w:val="44"/>
        </w:rPr>
        <w:t>合同授予</w:t>
      </w:r>
    </w:p>
    <w:p>
      <w:pPr>
        <w:spacing w:line="520" w:lineRule="exact"/>
        <w:ind w:firstLine="484" w:firstLineChars="202"/>
        <w:rPr>
          <w:rFonts w:ascii="宋体" w:cs="宋体"/>
          <w:kern w:val="0"/>
          <w:sz w:val="28"/>
          <w:szCs w:val="28"/>
        </w:rPr>
      </w:pPr>
      <w:r>
        <w:rPr>
          <w:rFonts w:hint="eastAsia" w:ascii="宋体" w:hAnsi="宋体" w:cs="宋体"/>
          <w:sz w:val="24"/>
          <w:szCs w:val="24"/>
        </w:rPr>
        <w:t>一、</w:t>
      </w:r>
      <w:r>
        <w:rPr>
          <w:rFonts w:hint="eastAsia" w:ascii="宋体" w:hAnsi="宋体" w:cs="宋体"/>
          <w:kern w:val="0"/>
          <w:sz w:val="24"/>
          <w:szCs w:val="24"/>
        </w:rPr>
        <w:t>由于项目供货时间紧迫，成交供应商在《成交通知书》发出30日内必须按照磋商文件确定的事项签订采购合同。合同一式肆份，采购单位、供应商各贰份。所签合同不得对磋商文件作实质性修改。采购单位不得向成交供应商提出不合理的要求作为签订合同的条件，不得与成交供应商私下订立背离磋商文件实质性内容的协议。</w:t>
      </w:r>
      <w:r>
        <w:rPr>
          <w:rFonts w:ascii="宋体" w:hAnsi="宋体" w:cs="宋体"/>
          <w:kern w:val="0"/>
          <w:sz w:val="24"/>
          <w:szCs w:val="24"/>
        </w:rPr>
        <w:t xml:space="preserve"> </w:t>
      </w:r>
    </w:p>
    <w:p>
      <w:pPr>
        <w:snapToGrid w:val="0"/>
        <w:spacing w:line="480" w:lineRule="exact"/>
        <w:ind w:firstLine="573"/>
        <w:rPr>
          <w:rFonts w:ascii="宋体" w:cs="宋体"/>
          <w:sz w:val="24"/>
          <w:szCs w:val="24"/>
        </w:rPr>
      </w:pPr>
      <w:r>
        <w:rPr>
          <w:rFonts w:hint="eastAsia" w:ascii="宋体" w:hAnsi="宋体" w:cs="宋体"/>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hint="eastAsia" w:ascii="宋体" w:hAnsi="宋体" w:cs="宋体"/>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hint="eastAsia" w:ascii="宋体" w:hAnsi="宋体" w:cs="宋体"/>
          <w:sz w:val="24"/>
          <w:szCs w:val="24"/>
        </w:rPr>
        <w:t>个工作日内支付相应款项。</w:t>
      </w:r>
    </w:p>
    <w:p>
      <w:pPr>
        <w:snapToGrid w:val="0"/>
        <w:spacing w:line="480" w:lineRule="exact"/>
        <w:ind w:firstLine="573"/>
        <w:rPr>
          <w:rFonts w:ascii="宋体" w:cs="宋体"/>
          <w:sz w:val="24"/>
          <w:szCs w:val="24"/>
        </w:rPr>
      </w:pPr>
      <w:r>
        <w:rPr>
          <w:rFonts w:hint="eastAsia" w:ascii="宋体" w:hAnsi="宋体" w:cs="宋体"/>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pPr>
        <w:snapToGrid w:val="0"/>
        <w:spacing w:line="480" w:lineRule="exact"/>
        <w:ind w:firstLine="573"/>
        <w:rPr>
          <w:rFonts w:ascii="宋体" w:cs="宋体"/>
          <w:sz w:val="24"/>
          <w:szCs w:val="24"/>
        </w:rPr>
      </w:pPr>
      <w:r>
        <w:rPr>
          <w:rFonts w:hint="eastAsia" w:ascii="宋体" w:hAnsi="宋体" w:cs="宋体"/>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73"/>
        <w:rPr>
          <w:rFonts w:ascii="宋体" w:cs="宋体"/>
          <w:sz w:val="24"/>
          <w:szCs w:val="24"/>
        </w:rPr>
      </w:pPr>
      <w:r>
        <w:rPr>
          <w:rFonts w:hint="eastAsia" w:ascii="宋体" w:hAnsi="宋体" w:cs="宋体"/>
          <w:sz w:val="24"/>
          <w:szCs w:val="24"/>
        </w:rPr>
        <w:t>五、按采购合同约定支付的货款，实行财政直接支付。</w:t>
      </w:r>
    </w:p>
    <w:p>
      <w:pPr>
        <w:snapToGrid w:val="0"/>
        <w:spacing w:line="480" w:lineRule="exact"/>
        <w:ind w:firstLine="573"/>
        <w:rPr>
          <w:rFonts w:ascii="宋体" w:cs="宋体"/>
          <w:sz w:val="24"/>
          <w:szCs w:val="24"/>
        </w:rPr>
      </w:pPr>
      <w:r>
        <w:rPr>
          <w:rFonts w:hint="eastAsia" w:ascii="宋体" w:hAnsi="宋体" w:cs="宋体"/>
          <w:sz w:val="24"/>
          <w:szCs w:val="24"/>
        </w:rPr>
        <w:t>六、不响应付款方式的，视同响应文件无效，按无效响应文件处理。</w:t>
      </w:r>
    </w:p>
    <w:p>
      <w:pPr>
        <w:snapToGrid w:val="0"/>
        <w:spacing w:line="480" w:lineRule="exact"/>
        <w:ind w:firstLine="573"/>
        <w:rPr>
          <w:rFonts w:ascii="宋体" w:cs="宋体"/>
          <w:sz w:val="24"/>
          <w:szCs w:val="24"/>
        </w:rPr>
      </w:pPr>
      <w:r>
        <w:rPr>
          <w:rFonts w:hint="eastAsia" w:ascii="宋体" w:hAnsi="宋体" w:cs="宋体"/>
          <w:sz w:val="24"/>
          <w:szCs w:val="24"/>
        </w:rPr>
        <w:t>七、付款方式详见磋商文件第五章。</w:t>
      </w:r>
    </w:p>
    <w:p>
      <w:pPr>
        <w:snapToGrid w:val="0"/>
        <w:spacing w:line="480" w:lineRule="exact"/>
        <w:ind w:firstLine="573"/>
        <w:rPr>
          <w:rFonts w:ascii="宋体" w:cs="宋体"/>
          <w:sz w:val="24"/>
          <w:szCs w:val="24"/>
        </w:rPr>
      </w:pPr>
      <w:r>
        <w:rPr>
          <w:rFonts w:hint="eastAsia" w:ascii="宋体" w:hAnsi="宋体" w:cs="宋体"/>
          <w:sz w:val="24"/>
          <w:szCs w:val="24"/>
        </w:rPr>
        <w:t>八、以上项目款的支付不计息。</w:t>
      </w: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p>
      <w:pPr>
        <w:snapToGrid w:val="0"/>
        <w:spacing w:line="480" w:lineRule="exact"/>
        <w:ind w:firstLine="573"/>
        <w:rPr>
          <w:rFonts w:ascii="宋体" w:cs="宋体"/>
          <w:sz w:val="24"/>
          <w:szCs w:val="24"/>
        </w:rPr>
      </w:pPr>
    </w:p>
    <w:bookmarkEnd w:id="61"/>
    <w:bookmarkEnd w:id="62"/>
    <w:p>
      <w:pPr>
        <w:tabs>
          <w:tab w:val="left" w:pos="1050"/>
          <w:tab w:val="right" w:leader="dot" w:pos="9402"/>
        </w:tabs>
        <w:spacing w:line="520" w:lineRule="exact"/>
        <w:jc w:val="center"/>
        <w:outlineLvl w:val="0"/>
        <w:rPr>
          <w:rFonts w:ascii="宋体" w:cs="宋体"/>
          <w:b/>
          <w:w w:val="80"/>
          <w:sz w:val="44"/>
          <w:szCs w:val="44"/>
        </w:rPr>
      </w:pPr>
      <w:bookmarkStart w:id="63" w:name="_Toc363573860"/>
      <w:r>
        <w:rPr>
          <w:rFonts w:hint="eastAsia" w:ascii="宋体" w:hAnsi="宋体" w:cs="宋体"/>
          <w:b/>
          <w:w w:val="80"/>
          <w:sz w:val="44"/>
          <w:szCs w:val="44"/>
        </w:rPr>
        <w:t>合同主要条款</w:t>
      </w:r>
    </w:p>
    <w:p>
      <w:pPr>
        <w:widowControl/>
        <w:spacing w:line="360" w:lineRule="auto"/>
        <w:ind w:firstLine="420"/>
        <w:rPr>
          <w:rFonts w:hint="eastAsia" w:ascii="宋体" w:hAnsi="宋体" w:cs="宋体"/>
          <w:color w:val="000000"/>
          <w:sz w:val="24"/>
          <w:szCs w:val="24"/>
        </w:rPr>
      </w:pPr>
      <w:r>
        <w:rPr>
          <w:rFonts w:hint="eastAsia" w:ascii="宋体" w:hAnsi="宋体" w:cs="宋体"/>
          <w:color w:val="000000"/>
          <w:sz w:val="24"/>
          <w:szCs w:val="24"/>
        </w:rPr>
        <w:t>发包方：（以下简称甲方）</w:t>
      </w:r>
    </w:p>
    <w:p>
      <w:pPr>
        <w:widowControl/>
        <w:spacing w:line="360" w:lineRule="auto"/>
        <w:ind w:firstLine="420"/>
        <w:rPr>
          <w:rFonts w:hint="eastAsia" w:ascii="宋体" w:hAnsi="宋体" w:cs="宋体"/>
          <w:color w:val="000000"/>
          <w:sz w:val="24"/>
          <w:szCs w:val="24"/>
        </w:rPr>
      </w:pPr>
      <w:r>
        <w:rPr>
          <w:rFonts w:hint="eastAsia" w:ascii="宋体" w:hAnsi="宋体" w:cs="宋体"/>
          <w:color w:val="000000"/>
          <w:sz w:val="24"/>
          <w:szCs w:val="24"/>
        </w:rPr>
        <w:t>承包方：（以下简称乙方）</w:t>
      </w:r>
    </w:p>
    <w:p>
      <w:pPr>
        <w:spacing w:line="360" w:lineRule="auto"/>
        <w:ind w:firstLine="480" w:firstLineChars="200"/>
        <w:rPr>
          <w:rFonts w:hint="eastAsia" w:asciiTheme="majorEastAsia" w:hAnsiTheme="majorEastAsia" w:eastAsiaTheme="majorEastAsia"/>
          <w:color w:val="000000"/>
          <w:kern w:val="0"/>
          <w:sz w:val="24"/>
          <w:szCs w:val="24"/>
          <w:u w:val="single"/>
        </w:rPr>
      </w:pPr>
      <w:r>
        <w:rPr>
          <w:rFonts w:hint="eastAsia" w:asciiTheme="majorEastAsia" w:hAnsiTheme="majorEastAsia" w:eastAsiaTheme="majorEastAsia"/>
          <w:color w:val="000000"/>
          <w:kern w:val="0"/>
          <w:sz w:val="24"/>
          <w:szCs w:val="24"/>
        </w:rPr>
        <w:t>签订地点：</w:t>
      </w:r>
      <w:r>
        <w:rPr>
          <w:rFonts w:hint="eastAsia" w:asciiTheme="majorEastAsia" w:hAnsiTheme="majorEastAsia" w:eastAsiaTheme="majorEastAsia"/>
          <w:color w:val="000000"/>
          <w:kern w:val="0"/>
          <w:sz w:val="24"/>
          <w:szCs w:val="24"/>
          <w:u w:val="single"/>
        </w:rPr>
        <w:t xml:space="preserve">                         </w:t>
      </w:r>
    </w:p>
    <w:p>
      <w:pPr>
        <w:spacing w:line="360" w:lineRule="auto"/>
        <w:ind w:firstLine="480" w:firstLineChars="200"/>
        <w:rPr>
          <w:rFonts w:hint="eastAsia" w:asciiTheme="majorEastAsia" w:hAnsiTheme="majorEastAsia" w:eastAsiaTheme="majorEastAsia"/>
          <w:color w:val="000000"/>
          <w:kern w:val="0"/>
          <w:sz w:val="24"/>
          <w:szCs w:val="24"/>
          <w:u w:val="single"/>
        </w:rPr>
      </w:pPr>
      <w:r>
        <w:rPr>
          <w:rFonts w:hint="eastAsia" w:asciiTheme="majorEastAsia" w:hAnsiTheme="majorEastAsia" w:eastAsiaTheme="majorEastAsia"/>
          <w:color w:val="000000"/>
          <w:kern w:val="0"/>
          <w:sz w:val="24"/>
          <w:szCs w:val="24"/>
        </w:rPr>
        <w:t>合同时间:</w:t>
      </w:r>
      <w:r>
        <w:rPr>
          <w:rFonts w:hint="eastAsia" w:asciiTheme="majorEastAsia" w:hAnsiTheme="majorEastAsia" w:eastAsiaTheme="majorEastAsia"/>
          <w:color w:val="000000"/>
          <w:kern w:val="0"/>
          <w:sz w:val="24"/>
          <w:szCs w:val="24"/>
          <w:u w:val="single"/>
        </w:rPr>
        <w:t xml:space="preserve">     年    月    日</w:t>
      </w:r>
    </w:p>
    <w:p>
      <w:pPr>
        <w:spacing w:line="360" w:lineRule="auto"/>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根据</w:t>
      </w:r>
      <w:r>
        <w:rPr>
          <w:rFonts w:hint="eastAsia" w:asciiTheme="majorEastAsia" w:hAnsiTheme="majorEastAsia" w:eastAsiaTheme="majorEastAsia"/>
          <w:kern w:val="0"/>
          <w:sz w:val="24"/>
          <w:szCs w:val="24"/>
          <w:u w:val="single"/>
        </w:rPr>
        <w:t xml:space="preserve">                        （</w:t>
      </w:r>
      <w:r>
        <w:rPr>
          <w:rFonts w:hint="eastAsia" w:asciiTheme="majorEastAsia" w:hAnsiTheme="majorEastAsia" w:eastAsiaTheme="majorEastAsia"/>
          <w:sz w:val="24"/>
          <w:szCs w:val="24"/>
          <w:u w:val="single"/>
        </w:rPr>
        <w:t>项目名称</w:t>
      </w:r>
      <w:r>
        <w:rPr>
          <w:rFonts w:hint="eastAsia" w:asciiTheme="majorEastAsia" w:hAnsiTheme="majorEastAsia" w:eastAsiaTheme="majorEastAsia"/>
          <w:kern w:val="0"/>
          <w:sz w:val="24"/>
          <w:szCs w:val="24"/>
          <w:u w:val="single"/>
        </w:rPr>
        <w:t>）</w:t>
      </w:r>
      <w:r>
        <w:rPr>
          <w:rFonts w:hint="eastAsia" w:asciiTheme="majorEastAsia" w:hAnsiTheme="majorEastAsia" w:eastAsiaTheme="majorEastAsia"/>
          <w:sz w:val="24"/>
          <w:szCs w:val="24"/>
        </w:rPr>
        <w:t>的采购要求</w:t>
      </w:r>
      <w:r>
        <w:rPr>
          <w:rFonts w:hint="eastAsia" w:asciiTheme="majorEastAsia" w:hAnsiTheme="majorEastAsia" w:eastAsiaTheme="majorEastAsia"/>
          <w:bCs/>
          <w:sz w:val="24"/>
          <w:szCs w:val="24"/>
        </w:rPr>
        <w:t>，甲乙双方</w:t>
      </w:r>
      <w:r>
        <w:rPr>
          <w:rFonts w:hint="eastAsia" w:asciiTheme="majorEastAsia" w:hAnsiTheme="majorEastAsia" w:eastAsiaTheme="majorEastAsia"/>
          <w:sz w:val="24"/>
          <w:szCs w:val="24"/>
        </w:rPr>
        <w:t>本着平等互利的原则，通过共同协商，根据</w:t>
      </w:r>
      <w:r>
        <w:rPr>
          <w:rFonts w:hint="eastAsia" w:asciiTheme="majorEastAsia" w:hAnsiTheme="majorEastAsia" w:eastAsiaTheme="majorEastAsia"/>
          <w:bCs/>
          <w:sz w:val="24"/>
          <w:szCs w:val="24"/>
        </w:rPr>
        <w:t>《中华人民共和国民法典》</w:t>
      </w:r>
      <w:r>
        <w:rPr>
          <w:rFonts w:hint="eastAsia" w:asciiTheme="majorEastAsia" w:hAnsiTheme="majorEastAsia" w:eastAsiaTheme="majorEastAsia"/>
          <w:sz w:val="24"/>
          <w:szCs w:val="24"/>
        </w:rPr>
        <w:t>及有关法律法规，就相关事宜达成如下合同。</w:t>
      </w:r>
    </w:p>
    <w:p>
      <w:pPr>
        <w:numPr>
          <w:ilvl w:val="0"/>
          <w:numId w:val="5"/>
        </w:numPr>
        <w:spacing w:line="360" w:lineRule="auto"/>
        <w:ind w:firstLine="482" w:firstLineChars="200"/>
        <w:rPr>
          <w:rFonts w:hint="eastAsia" w:ascii="宋体" w:hAnsi="宋体" w:cs="宋体"/>
          <w:b/>
          <w:bCs/>
          <w:kern w:val="0"/>
          <w:sz w:val="24"/>
          <w:szCs w:val="24"/>
          <w:lang w:val="zh-CN"/>
        </w:rPr>
      </w:pPr>
      <w:r>
        <w:rPr>
          <w:rFonts w:hint="eastAsia" w:ascii="宋体" w:hAnsi="宋体" w:cs="宋体"/>
          <w:b/>
          <w:bCs/>
          <w:sz w:val="24"/>
          <w:szCs w:val="24"/>
        </w:rPr>
        <w:t>绿化养护地点：</w:t>
      </w:r>
      <w:r>
        <w:rPr>
          <w:rFonts w:hint="eastAsia" w:ascii="宋体" w:hAnsi="宋体" w:cs="宋体"/>
          <w:b/>
          <w:bCs/>
          <w:kern w:val="0"/>
          <w:sz w:val="24"/>
          <w:szCs w:val="24"/>
          <w:lang w:val="zh-CN"/>
        </w:rPr>
        <w:t>南通群英馆（南通市崇川区环城南路</w:t>
      </w:r>
      <w:r>
        <w:rPr>
          <w:rFonts w:hint="eastAsia" w:ascii="宋体" w:hAnsi="宋体" w:cs="宋体"/>
          <w:b/>
          <w:bCs/>
          <w:kern w:val="0"/>
          <w:sz w:val="24"/>
          <w:szCs w:val="24"/>
        </w:rPr>
        <w:t>1号</w:t>
      </w:r>
      <w:r>
        <w:rPr>
          <w:rFonts w:hint="eastAsia" w:ascii="宋体" w:hAnsi="宋体" w:cs="宋体"/>
          <w:b/>
          <w:bCs/>
          <w:kern w:val="0"/>
          <w:sz w:val="24"/>
          <w:szCs w:val="24"/>
          <w:lang w:val="zh-CN"/>
        </w:rPr>
        <w:t>）；</w:t>
      </w:r>
    </w:p>
    <w:p>
      <w:pPr>
        <w:spacing w:line="360" w:lineRule="auto"/>
        <w:rPr>
          <w:rFonts w:hint="eastAsia" w:ascii="宋体" w:hAnsi="宋体" w:cs="宋体"/>
          <w:b/>
          <w:bCs/>
          <w:kern w:val="0"/>
          <w:sz w:val="24"/>
          <w:szCs w:val="24"/>
        </w:rPr>
      </w:pPr>
      <w:r>
        <w:rPr>
          <w:rFonts w:hint="eastAsia" w:ascii="宋体" w:hAnsi="宋体" w:cs="宋体"/>
          <w:b/>
          <w:bCs/>
          <w:kern w:val="0"/>
          <w:sz w:val="24"/>
          <w:szCs w:val="24"/>
        </w:rPr>
        <w:t xml:space="preserve">                     伶工学社（南通市崇川区严家巷4号）</w:t>
      </w:r>
    </w:p>
    <w:p>
      <w:pPr>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2、绿化养护内容：</w:t>
      </w:r>
    </w:p>
    <w:p>
      <w:pPr>
        <w:snapToGrid w:val="0"/>
        <w:spacing w:line="360" w:lineRule="auto"/>
        <w:ind w:firstLine="484"/>
        <w:rPr>
          <w:rFonts w:hint="eastAsia" w:ascii="宋体" w:hAnsi="宋体" w:cs="宋体"/>
          <w:b/>
          <w:kern w:val="0"/>
          <w:sz w:val="24"/>
          <w:szCs w:val="24"/>
          <w:lang w:val="zh-CN"/>
        </w:rPr>
      </w:pPr>
      <w:r>
        <w:rPr>
          <w:rFonts w:hint="eastAsia" w:ascii="宋体" w:hAnsi="宋体" w:cs="宋体"/>
          <w:b/>
          <w:kern w:val="0"/>
          <w:sz w:val="24"/>
          <w:szCs w:val="24"/>
          <w:lang w:val="zh-CN"/>
        </w:rPr>
        <w:t>A、南通群英馆：</w:t>
      </w:r>
    </w:p>
    <w:tbl>
      <w:tblPr>
        <w:tblStyle w:val="50"/>
        <w:tblW w:w="10320" w:type="dxa"/>
        <w:tblInd w:w="-283" w:type="dxa"/>
        <w:tblLayout w:type="fixed"/>
        <w:tblCellMar>
          <w:top w:w="0" w:type="dxa"/>
          <w:left w:w="108" w:type="dxa"/>
          <w:bottom w:w="0" w:type="dxa"/>
          <w:right w:w="108" w:type="dxa"/>
        </w:tblCellMar>
      </w:tblPr>
      <w:tblGrid>
        <w:gridCol w:w="615"/>
        <w:gridCol w:w="1590"/>
        <w:gridCol w:w="1515"/>
        <w:gridCol w:w="1260"/>
        <w:gridCol w:w="1140"/>
        <w:gridCol w:w="870"/>
        <w:gridCol w:w="735"/>
        <w:gridCol w:w="2595"/>
      </w:tblGrid>
      <w:tr>
        <w:tblPrEx>
          <w:tblCellMar>
            <w:top w:w="0" w:type="dxa"/>
            <w:left w:w="108" w:type="dxa"/>
            <w:bottom w:w="0" w:type="dxa"/>
            <w:right w:w="108" w:type="dxa"/>
          </w:tblCellMar>
        </w:tblPrEx>
        <w:trPr>
          <w:trHeight w:val="340" w:hRule="exact"/>
        </w:trPr>
        <w:tc>
          <w:tcPr>
            <w:tcW w:w="6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序号</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名称</w:t>
            </w:r>
          </w:p>
        </w:tc>
        <w:tc>
          <w:tcPr>
            <w:tcW w:w="391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规格</w:t>
            </w:r>
          </w:p>
        </w:tc>
        <w:tc>
          <w:tcPr>
            <w:tcW w:w="8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数量</w:t>
            </w:r>
          </w:p>
        </w:tc>
        <w:tc>
          <w:tcPr>
            <w:tcW w:w="7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单位</w:t>
            </w:r>
          </w:p>
        </w:tc>
        <w:tc>
          <w:tcPr>
            <w:tcW w:w="25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备注</w:t>
            </w:r>
          </w:p>
        </w:tc>
      </w:tr>
      <w:tr>
        <w:tblPrEx>
          <w:tblCellMar>
            <w:top w:w="0" w:type="dxa"/>
            <w:left w:w="108" w:type="dxa"/>
            <w:bottom w:w="0" w:type="dxa"/>
            <w:right w:w="108" w:type="dxa"/>
          </w:tblCellMar>
        </w:tblPrEx>
        <w:trPr>
          <w:trHeight w:val="340" w:hRule="exact"/>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rPr>
            </w:pP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胸（地）径</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高度</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kern w:val="0"/>
                <w:sz w:val="20"/>
              </w:rPr>
            </w:pPr>
            <w:r>
              <w:rPr>
                <w:rFonts w:hint="eastAsia" w:ascii="宋体" w:hAnsi="宋体" w:cs="宋体"/>
                <w:b/>
                <w:bCs/>
                <w:kern w:val="0"/>
                <w:sz w:val="20"/>
              </w:rPr>
              <w:t>冠幅</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rPr>
            </w:pPr>
          </w:p>
        </w:tc>
        <w:tc>
          <w:tcPr>
            <w:tcW w:w="2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0"/>
              </w:rPr>
            </w:pP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丛生朴树</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700-750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500-550</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主杆胸径&gt;15</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丛生朴树特选</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700-750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500-550</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造型罗汉松</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250-300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金桂</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200</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5</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山茶</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6</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金森女贞球</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44</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红叶石楠球</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63</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8</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海桐球</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150-180</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52</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9</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樱花</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d8-10</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250-300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250-300</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16</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10</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毛鹃</w:t>
            </w:r>
          </w:p>
        </w:tc>
        <w:tc>
          <w:tcPr>
            <w:tcW w:w="151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447</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49株/m2</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11</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南天竹</w:t>
            </w:r>
          </w:p>
        </w:tc>
        <w:tc>
          <w:tcPr>
            <w:tcW w:w="151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152</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49株/m2</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12</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红花继木</w:t>
            </w:r>
          </w:p>
        </w:tc>
        <w:tc>
          <w:tcPr>
            <w:tcW w:w="151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282</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49株/m2</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13</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茶梅</w:t>
            </w:r>
          </w:p>
        </w:tc>
        <w:tc>
          <w:tcPr>
            <w:tcW w:w="151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20-30</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234</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49株/m2</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14</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法青</w:t>
            </w:r>
          </w:p>
        </w:tc>
        <w:tc>
          <w:tcPr>
            <w:tcW w:w="151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80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46</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16株/m2</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日本麦冬</w:t>
            </w:r>
          </w:p>
        </w:tc>
        <w:tc>
          <w:tcPr>
            <w:tcW w:w="151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809</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16</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草坪</w:t>
            </w:r>
          </w:p>
        </w:tc>
        <w:tc>
          <w:tcPr>
            <w:tcW w:w="151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415</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17</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时令草花</w:t>
            </w:r>
          </w:p>
        </w:tc>
        <w:tc>
          <w:tcPr>
            <w:tcW w:w="151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117.86</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m2</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18</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香樟</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25-30cm</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700-750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500-550</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19</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樱花</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15cm</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9</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紫薇</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胸径10cm</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250-300</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21</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垂丝海棠</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胸径7cm</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22</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鸡爪槭</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20cm</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23</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xml:space="preserve"> 鸡爪槭</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25cm</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24</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红枫</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10-15cm</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6</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25</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xml:space="preserve"> 桂花</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26</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26</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红叶石楠球</w:t>
            </w:r>
          </w:p>
        </w:tc>
        <w:tc>
          <w:tcPr>
            <w:tcW w:w="1515" w:type="dxa"/>
            <w:tcBorders>
              <w:top w:val="nil"/>
              <w:left w:val="nil"/>
              <w:bottom w:val="single" w:color="auto" w:sz="4" w:space="0"/>
              <w:right w:val="single" w:color="auto" w:sz="4" w:space="0"/>
            </w:tcBorders>
            <w:shd w:val="clear" w:color="000000" w:fill="FFFFFF"/>
            <w:noWrap/>
            <w:vAlign w:val="bottom"/>
          </w:tcPr>
          <w:p>
            <w:pPr>
              <w:widowControl/>
              <w:jc w:val="left"/>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p150CM</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27</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红叶石楠球</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p200CM</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28</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水杉</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18</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29</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香樟</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8</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30</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女贞</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31</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广玉兰</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7</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32</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黄杨</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33</w:t>
            </w:r>
          </w:p>
        </w:tc>
        <w:tc>
          <w:tcPr>
            <w:tcW w:w="15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银杏</w:t>
            </w:r>
          </w:p>
        </w:tc>
        <w:tc>
          <w:tcPr>
            <w:tcW w:w="151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114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c>
          <w:tcPr>
            <w:tcW w:w="87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73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株</w:t>
            </w:r>
          </w:p>
        </w:tc>
        <w:tc>
          <w:tcPr>
            <w:tcW w:w="259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40" w:hRule="exact"/>
        </w:trPr>
        <w:tc>
          <w:tcPr>
            <w:tcW w:w="6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34</w:t>
            </w:r>
          </w:p>
        </w:tc>
        <w:tc>
          <w:tcPr>
            <w:tcW w:w="15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绿化面积</w:t>
            </w:r>
          </w:p>
        </w:tc>
        <w:tc>
          <w:tcPr>
            <w:tcW w:w="15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c>
          <w:tcPr>
            <w:tcW w:w="12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c>
          <w:tcPr>
            <w:tcW w:w="1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2165</w:t>
            </w:r>
          </w:p>
        </w:tc>
        <w:tc>
          <w:tcPr>
            <w:tcW w:w="7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平方</w:t>
            </w:r>
          </w:p>
        </w:tc>
        <w:tc>
          <w:tcPr>
            <w:tcW w:w="25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r>
      <w:tr>
        <w:tblPrEx>
          <w:tblCellMar>
            <w:top w:w="0" w:type="dxa"/>
            <w:left w:w="108" w:type="dxa"/>
            <w:bottom w:w="0" w:type="dxa"/>
            <w:right w:w="108" w:type="dxa"/>
          </w:tblCellMar>
        </w:tblPrEx>
        <w:trPr>
          <w:trHeight w:val="585" w:hRule="exact"/>
        </w:trPr>
        <w:tc>
          <w:tcPr>
            <w:tcW w:w="6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35</w:t>
            </w:r>
          </w:p>
        </w:tc>
        <w:tc>
          <w:tcPr>
            <w:tcW w:w="15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补植</w:t>
            </w:r>
          </w:p>
        </w:tc>
        <w:tc>
          <w:tcPr>
            <w:tcW w:w="15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c>
          <w:tcPr>
            <w:tcW w:w="12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c>
          <w:tcPr>
            <w:tcW w:w="1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7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项</w:t>
            </w:r>
          </w:p>
        </w:tc>
        <w:tc>
          <w:tcPr>
            <w:tcW w:w="25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0"/>
              </w:rPr>
            </w:pPr>
            <w:r>
              <w:rPr>
                <w:rFonts w:hint="eastAsia" w:ascii="宋体" w:hAnsi="宋体" w:cs="宋体"/>
                <w:kern w:val="0"/>
                <w:sz w:val="20"/>
              </w:rPr>
              <w:t>景区空缺及影响美观的草坪、日本麦冬、小苗等</w:t>
            </w:r>
          </w:p>
        </w:tc>
      </w:tr>
    </w:tbl>
    <w:p>
      <w:pPr>
        <w:wordWrap w:val="0"/>
        <w:snapToGrid w:val="0"/>
        <w:spacing w:line="420" w:lineRule="exact"/>
        <w:ind w:firstLine="482" w:firstLineChars="200"/>
        <w:rPr>
          <w:rFonts w:hint="eastAsia" w:ascii="宋体" w:hAnsi="宋体" w:cs="宋体"/>
          <w:b/>
          <w:kern w:val="0"/>
          <w:sz w:val="28"/>
          <w:szCs w:val="28"/>
        </w:rPr>
      </w:pPr>
      <w:r>
        <w:rPr>
          <w:rFonts w:hint="eastAsia" w:ascii="宋体" w:hAnsi="宋体" w:cs="宋体"/>
          <w:b/>
          <w:kern w:val="0"/>
          <w:sz w:val="24"/>
          <w:szCs w:val="24"/>
          <w:lang w:val="zh-CN"/>
        </w:rPr>
        <w:t>B、伶工学社：</w:t>
      </w:r>
    </w:p>
    <w:tbl>
      <w:tblPr>
        <w:tblStyle w:val="50"/>
        <w:tblW w:w="10290" w:type="dxa"/>
        <w:tblInd w:w="-255" w:type="dxa"/>
        <w:tblLayout w:type="autofit"/>
        <w:tblCellMar>
          <w:top w:w="0" w:type="dxa"/>
          <w:left w:w="108" w:type="dxa"/>
          <w:bottom w:w="0" w:type="dxa"/>
          <w:right w:w="108" w:type="dxa"/>
        </w:tblCellMar>
      </w:tblPr>
      <w:tblGrid>
        <w:gridCol w:w="600"/>
        <w:gridCol w:w="1860"/>
        <w:gridCol w:w="1710"/>
        <w:gridCol w:w="1260"/>
        <w:gridCol w:w="1200"/>
        <w:gridCol w:w="1080"/>
        <w:gridCol w:w="1110"/>
        <w:gridCol w:w="1470"/>
      </w:tblGrid>
      <w:tr>
        <w:tblPrEx>
          <w:tblCellMar>
            <w:top w:w="0" w:type="dxa"/>
            <w:left w:w="108" w:type="dxa"/>
            <w:bottom w:w="0" w:type="dxa"/>
            <w:right w:w="108" w:type="dxa"/>
          </w:tblCellMar>
        </w:tblPrEx>
        <w:trPr>
          <w:trHeight w:val="307" w:hRule="exac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名称</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规格(cm)</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数量</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r>
      <w:tr>
        <w:tblPrEx>
          <w:tblCellMar>
            <w:top w:w="0" w:type="dxa"/>
            <w:left w:w="108" w:type="dxa"/>
            <w:bottom w:w="0" w:type="dxa"/>
            <w:right w:w="108" w:type="dxa"/>
          </w:tblCellMar>
        </w:tblPrEx>
        <w:trPr>
          <w:trHeight w:val="312" w:hRule="exac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胸</w:t>
            </w:r>
            <w:r>
              <w:rPr>
                <w:rStyle w:val="120"/>
                <w:rFonts w:hint="default"/>
                <w:lang w:bidi="ar"/>
              </w:rPr>
              <w:t xml:space="preserve"> </w:t>
            </w:r>
            <w:r>
              <w:rPr>
                <w:rStyle w:val="121"/>
                <w:rFonts w:hint="default"/>
                <w:b w:val="0"/>
                <w:bCs w:val="0"/>
                <w:lang w:bidi="ar"/>
              </w:rPr>
              <w:t>(</w:t>
            </w:r>
            <w:r>
              <w:rPr>
                <w:rStyle w:val="120"/>
                <w:rFonts w:hint="default"/>
                <w:lang w:bidi="ar"/>
              </w:rPr>
              <w:t xml:space="preserve"> </w:t>
            </w:r>
            <w:r>
              <w:rPr>
                <w:rStyle w:val="121"/>
                <w:rFonts w:hint="default"/>
                <w:b w:val="0"/>
                <w:bCs w:val="0"/>
                <w:lang w:bidi="ar"/>
              </w:rPr>
              <w:t>地</w:t>
            </w:r>
            <w:r>
              <w:rPr>
                <w:rStyle w:val="120"/>
                <w:rFonts w:hint="default"/>
                <w:lang w:bidi="ar"/>
              </w:rPr>
              <w:t xml:space="preserve"> </w:t>
            </w:r>
            <w:r>
              <w:rPr>
                <w:rStyle w:val="121"/>
                <w:rFonts w:hint="default"/>
                <w:b w:val="0"/>
                <w:bCs w:val="0"/>
                <w:lang w:bidi="ar"/>
              </w:rPr>
              <w:t>)</w:t>
            </w:r>
            <w:r>
              <w:rPr>
                <w:rStyle w:val="120"/>
                <w:rFonts w:hint="default"/>
                <w:lang w:bidi="ar"/>
              </w:rPr>
              <w:t xml:space="preserve"> </w:t>
            </w:r>
            <w:r>
              <w:rPr>
                <w:rStyle w:val="121"/>
                <w:rFonts w:hint="default"/>
                <w:b w:val="0"/>
                <w:bCs w:val="0"/>
                <w:lang w:bidi="ar"/>
              </w:rPr>
              <w:t>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高度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冠幅</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红花继木桩盆景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红花继木桩盆景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170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红花继木桩盆景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红花继木桩盆景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樱花</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18-22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铁树</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160-180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红枫</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9-10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铁树</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红叶石楠球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150-200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220-250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金森女贞球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造型黑松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红天竹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120-180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150-200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一叶兰</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慈孝竹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枝</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八角金盘</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狭叶若竹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枝</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龟甲冬青球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60-100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120-160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无刺构骨球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80-100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120-180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红花继木球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200-220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金桂</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350-400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400-450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朴树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三角枫</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茶花</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100-120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80-100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茶梅</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红叶石楠球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60-100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120-160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红花继木球</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60-100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120-150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罗汉松</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梅花</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12-16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紫薇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黄金条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龙抓槐</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10-12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32</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石榴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33</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朴树</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34</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结香</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桂花</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300-350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垂丝海棠</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Fonts w:hint="eastAsia" w:ascii="宋体" w:hAnsi="宋体" w:cs="宋体"/>
                <w:color w:val="000000"/>
                <w:kern w:val="0"/>
                <w:sz w:val="20"/>
                <w:lang w:bidi="ar"/>
              </w:rPr>
              <w:t>株</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0"/>
                <w:lang w:bidi="ar"/>
              </w:rPr>
            </w:pPr>
            <w:r>
              <w:rPr>
                <w:rFonts w:hint="eastAsia" w:ascii="宋体" w:hAnsi="宋体" w:cs="宋体"/>
                <w:color w:val="000000"/>
                <w:kern w:val="0"/>
                <w:sz w:val="20"/>
                <w:lang w:bidi="ar"/>
              </w:rPr>
              <w:t>百慕大加黑麦草</w:t>
            </w:r>
          </w:p>
          <w:p>
            <w:pPr>
              <w:widowControl/>
              <w:jc w:val="center"/>
              <w:textAlignment w:val="center"/>
              <w:rPr>
                <w:rFonts w:hint="eastAsia" w:ascii="宋体" w:hAnsi="宋体" w:cs="宋体"/>
                <w:color w:val="000000"/>
                <w:kern w:val="0"/>
                <w:sz w:val="20"/>
                <w:lang w:bidi="ar"/>
              </w:rPr>
            </w:pPr>
          </w:p>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草坪</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Style w:val="123"/>
                <w:rFonts w:hint="eastAsia"/>
                <w:lang w:bidi="ar"/>
              </w:rPr>
              <w:t>m²</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1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38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麦冬草</w:t>
            </w:r>
          </w:p>
        </w:tc>
        <w:tc>
          <w:tcPr>
            <w:tcW w:w="1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center"/>
              <w:textAlignment w:val="center"/>
              <w:rPr>
                <w:rFonts w:hint="eastAsia" w:ascii="宋体" w:hAnsi="宋体" w:cs="宋体"/>
                <w:color w:val="000000"/>
                <w:sz w:val="20"/>
              </w:rPr>
            </w:pPr>
            <w:r>
              <w:rPr>
                <w:rStyle w:val="123"/>
                <w:rFonts w:hint="eastAsia"/>
                <w:lang w:bidi="ar"/>
              </w:rPr>
              <w:t>m²</w:t>
            </w:r>
          </w:p>
        </w:tc>
        <w:tc>
          <w:tcPr>
            <w:tcW w:w="147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hint="eastAsia" w:ascii="宋体" w:hAnsi="宋体" w:cs="宋体"/>
                <w:color w:val="000000"/>
                <w:sz w:val="20"/>
              </w:rPr>
            </w:pPr>
          </w:p>
        </w:tc>
      </w:tr>
      <w:tr>
        <w:tblPrEx>
          <w:tblCellMar>
            <w:top w:w="0" w:type="dxa"/>
            <w:left w:w="108" w:type="dxa"/>
            <w:bottom w:w="0" w:type="dxa"/>
            <w:right w:w="108" w:type="dxa"/>
          </w:tblCellMar>
        </w:tblPrEx>
        <w:trPr>
          <w:trHeight w:val="322"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rPr>
            </w:pPr>
            <w:r>
              <w:rPr>
                <w:rFonts w:ascii="宋体" w:hAnsi="宋体" w:cs="宋体"/>
                <w:color w:val="000000"/>
                <w:kern w:val="0"/>
                <w:sz w:val="20"/>
                <w:lang w:bidi="ar"/>
              </w:rPr>
              <w:t>39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rPr>
            </w:pPr>
            <w:r>
              <w:rPr>
                <w:rFonts w:ascii="宋体" w:hAnsi="宋体" w:cs="宋体"/>
                <w:color w:val="000000"/>
                <w:kern w:val="0"/>
                <w:sz w:val="20"/>
                <w:lang w:bidi="ar"/>
              </w:rPr>
              <w:t>其他空地</w:t>
            </w:r>
          </w:p>
        </w:tc>
        <w:tc>
          <w:tcPr>
            <w:tcW w:w="4170"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cs="Arial"/>
                <w:color w:val="000000"/>
                <w:sz w:val="20"/>
              </w:rPr>
            </w:pPr>
            <w:r>
              <w:rPr>
                <w:rFonts w:ascii="宋体" w:hAnsi="宋体" w:cs="宋体"/>
                <w:color w:val="000000"/>
                <w:kern w:val="0"/>
                <w:sz w:val="20"/>
                <w:lang w:bidi="ar"/>
              </w:rPr>
              <w:t>大银杏树下、卵石散铺地等</w:t>
            </w:r>
          </w:p>
          <w:p>
            <w:pPr>
              <w:widowControl/>
              <w:jc w:val="center"/>
              <w:textAlignment w:val="center"/>
              <w:rPr>
                <w:rFonts w:hint="eastAsia" w:ascii="宋体" w:hAnsi="宋体" w:cs="宋体"/>
                <w:color w:val="000000"/>
                <w:sz w:val="20"/>
              </w:rPr>
            </w:pPr>
            <w:r>
              <w:rPr>
                <w:rFonts w:ascii="宋体" w:hAnsi="宋体" w:cs="宋体"/>
                <w:color w:val="000000"/>
                <w:kern w:val="0"/>
                <w:sz w:val="20"/>
                <w:lang w:bidi="ar"/>
              </w:rPr>
              <w:t>150</w:t>
            </w:r>
          </w:p>
          <w:p>
            <w:pPr>
              <w:jc w:val="left"/>
              <w:rPr>
                <w:rFonts w:ascii="Arial" w:hAnsi="Arial" w:cs="Arial"/>
                <w:color w:val="000000"/>
                <w:sz w:val="20"/>
              </w:rPr>
            </w:pPr>
            <w:r>
              <w:rPr>
                <w:rStyle w:val="123"/>
                <w:lang w:bidi="ar"/>
              </w:rPr>
              <w:t>m²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123"/>
                <w:rFonts w:hint="eastAsia"/>
                <w:lang w:bidi="ar"/>
              </w:rPr>
            </w:pPr>
            <w:r>
              <w:rPr>
                <w:rStyle w:val="123"/>
                <w:rFonts w:hint="eastAsia"/>
                <w:lang w:bidi="ar"/>
              </w:rPr>
              <w:t>150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123"/>
                <w:rFonts w:hint="eastAsia"/>
                <w:lang w:bidi="ar"/>
              </w:rPr>
            </w:pPr>
            <w:r>
              <w:rPr>
                <w:rStyle w:val="123"/>
                <w:rFonts w:hint="eastAsia"/>
                <w:lang w:bidi="ar"/>
              </w:rPr>
              <w:t xml:space="preserve"> m²</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123"/>
                <w:rFonts w:hint="eastAsia"/>
                <w:lang w:bidi="ar"/>
              </w:rPr>
            </w:pPr>
          </w:p>
        </w:tc>
      </w:tr>
    </w:tbl>
    <w:p>
      <w:pPr>
        <w:adjustRightInd w:val="0"/>
        <w:snapToGrid w:val="0"/>
        <w:spacing w:line="440" w:lineRule="exact"/>
        <w:ind w:firstLine="482" w:firstLineChars="200"/>
        <w:rPr>
          <w:rFonts w:hint="eastAsia" w:ascii="宋体" w:hAnsi="宋体" w:cs="宋体"/>
          <w:b/>
          <w:sz w:val="24"/>
          <w:szCs w:val="24"/>
        </w:rPr>
      </w:pPr>
      <w:r>
        <w:rPr>
          <w:rFonts w:hint="eastAsia" w:ascii="宋体" w:hAnsi="宋体" w:cs="宋体"/>
          <w:b/>
          <w:sz w:val="24"/>
          <w:szCs w:val="24"/>
        </w:rPr>
        <w:t>3</w:t>
      </w:r>
      <w:r>
        <w:rPr>
          <w:rFonts w:ascii="宋体" w:hAnsi="宋体" w:cs="宋体"/>
          <w:b/>
          <w:sz w:val="24"/>
          <w:szCs w:val="24"/>
        </w:rPr>
        <w:t>、承包形式及要求:</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3</w:t>
      </w:r>
      <w:r>
        <w:rPr>
          <w:rFonts w:ascii="宋体" w:hAnsi="宋体" w:cs="宋体"/>
          <w:sz w:val="24"/>
          <w:szCs w:val="24"/>
        </w:rPr>
        <w:t>.1</w:t>
      </w:r>
      <w:r>
        <w:rPr>
          <w:rFonts w:hint="eastAsia" w:ascii="宋体" w:hAnsi="宋体" w:cs="宋体"/>
          <w:sz w:val="24"/>
          <w:szCs w:val="24"/>
        </w:rPr>
        <w:t>成交人</w:t>
      </w:r>
      <w:r>
        <w:rPr>
          <w:rFonts w:ascii="宋体" w:hAnsi="宋体" w:cs="宋体"/>
          <w:sz w:val="24"/>
          <w:szCs w:val="24"/>
        </w:rPr>
        <w:t>包工包料，含绿化养护工具、肥料、药物、材料、设备、设施(如喷水、修剪、锄草、治虫等必要机械)和人员工资、社会保险及福利等</w:t>
      </w:r>
      <w:r>
        <w:rPr>
          <w:rFonts w:hint="eastAsia" w:ascii="宋体" w:hAnsi="宋体" w:cs="宋体"/>
          <w:sz w:val="24"/>
          <w:szCs w:val="24"/>
        </w:rPr>
        <w:t>一</w:t>
      </w:r>
      <w:r>
        <w:rPr>
          <w:rFonts w:ascii="宋体" w:hAnsi="宋体" w:cs="宋体"/>
          <w:sz w:val="24"/>
          <w:szCs w:val="24"/>
        </w:rPr>
        <w:t>切费用。绿化养护用水电由甲方提供。</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3</w:t>
      </w:r>
      <w:r>
        <w:rPr>
          <w:rFonts w:ascii="宋体" w:hAnsi="宋体" w:cs="宋体"/>
          <w:sz w:val="24"/>
          <w:szCs w:val="24"/>
        </w:rPr>
        <w:t>.2养护所需农药、肥料等均应附有合格证证明，不合格的不得使用。</w:t>
      </w:r>
      <w:r>
        <w:rPr>
          <w:rFonts w:hint="eastAsia" w:ascii="宋体" w:hAnsi="宋体" w:cs="宋体"/>
          <w:sz w:val="24"/>
          <w:szCs w:val="24"/>
        </w:rPr>
        <w:t>成交人</w:t>
      </w:r>
      <w:r>
        <w:rPr>
          <w:rFonts w:ascii="宋体" w:hAnsi="宋体" w:cs="宋体"/>
          <w:sz w:val="24"/>
          <w:szCs w:val="24"/>
        </w:rPr>
        <w:t>对所承包材料、农药、肥料的质量负责，对由于其质量问题引起的责任均由</w:t>
      </w:r>
      <w:r>
        <w:rPr>
          <w:rFonts w:hint="eastAsia" w:ascii="宋体" w:hAnsi="宋体" w:cs="宋体"/>
          <w:sz w:val="24"/>
          <w:szCs w:val="24"/>
        </w:rPr>
        <w:t>成交人</w:t>
      </w:r>
      <w:r>
        <w:rPr>
          <w:rFonts w:ascii="宋体" w:hAnsi="宋体" w:cs="宋体"/>
          <w:sz w:val="24"/>
          <w:szCs w:val="24"/>
        </w:rPr>
        <w:t>承担。</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3</w:t>
      </w:r>
      <w:r>
        <w:rPr>
          <w:rFonts w:ascii="宋体" w:hAnsi="宋体" w:cs="宋体"/>
          <w:sz w:val="24"/>
          <w:szCs w:val="24"/>
        </w:rPr>
        <w:t>.3</w:t>
      </w:r>
      <w:r>
        <w:rPr>
          <w:rFonts w:hint="eastAsia" w:ascii="宋体" w:hAnsi="宋体" w:cs="宋体"/>
          <w:sz w:val="24"/>
          <w:szCs w:val="24"/>
        </w:rPr>
        <w:t>成交人</w:t>
      </w:r>
      <w:r>
        <w:rPr>
          <w:rFonts w:ascii="宋体" w:hAnsi="宋体" w:cs="宋体"/>
          <w:sz w:val="24"/>
          <w:szCs w:val="24"/>
        </w:rPr>
        <w:t>承诺完全具备签订及履行本协议的资格和能力，</w:t>
      </w:r>
      <w:r>
        <w:rPr>
          <w:rFonts w:hint="eastAsia" w:ascii="宋体" w:hAnsi="宋体" w:cs="宋体"/>
          <w:sz w:val="24"/>
          <w:szCs w:val="24"/>
        </w:rPr>
        <w:t>成交人</w:t>
      </w:r>
      <w:r>
        <w:rPr>
          <w:rFonts w:ascii="宋体" w:hAnsi="宋体" w:cs="宋体"/>
          <w:sz w:val="24"/>
          <w:szCs w:val="24"/>
        </w:rPr>
        <w:t>以自己的技术、设备和人力独立完成本协议项下工程任务而不得将其转包给第三人。</w:t>
      </w:r>
    </w:p>
    <w:p>
      <w:pPr>
        <w:adjustRightInd w:val="0"/>
        <w:snapToGrid w:val="0"/>
        <w:spacing w:line="440" w:lineRule="exact"/>
        <w:ind w:firstLine="482" w:firstLineChars="200"/>
        <w:rPr>
          <w:rFonts w:hint="eastAsia" w:ascii="宋体" w:hAnsi="宋体" w:cs="宋体"/>
          <w:b/>
          <w:sz w:val="24"/>
          <w:szCs w:val="24"/>
        </w:rPr>
      </w:pPr>
      <w:r>
        <w:rPr>
          <w:rFonts w:hint="eastAsia" w:ascii="宋体" w:hAnsi="宋体" w:cs="宋体"/>
          <w:b/>
          <w:sz w:val="24"/>
          <w:szCs w:val="24"/>
        </w:rPr>
        <w:t>4、绿化养护期限：</w:t>
      </w:r>
      <w:r>
        <w:rPr>
          <w:rFonts w:hint="eastAsia" w:ascii="宋体" w:hAnsi="宋体" w:cs="宋体"/>
          <w:sz w:val="24"/>
          <w:szCs w:val="24"/>
        </w:rPr>
        <w:t>11个月（2024年8月1日-2025年6月30日）</w:t>
      </w:r>
      <w:r>
        <w:rPr>
          <w:rFonts w:ascii="宋体" w:hAnsi="宋体" w:cs="宋体"/>
          <w:sz w:val="24"/>
          <w:szCs w:val="24"/>
        </w:rPr>
        <w:t>。</w:t>
      </w:r>
    </w:p>
    <w:p>
      <w:pPr>
        <w:adjustRightInd w:val="0"/>
        <w:snapToGrid w:val="0"/>
        <w:spacing w:line="440" w:lineRule="exact"/>
        <w:ind w:firstLine="482" w:firstLineChars="200"/>
        <w:rPr>
          <w:rFonts w:hint="eastAsia" w:ascii="宋体" w:hAnsi="宋体" w:cs="宋体"/>
          <w:b/>
          <w:sz w:val="24"/>
          <w:szCs w:val="24"/>
        </w:rPr>
      </w:pPr>
      <w:r>
        <w:rPr>
          <w:rFonts w:hint="eastAsia" w:ascii="宋体" w:hAnsi="宋体" w:cs="宋体"/>
          <w:b/>
          <w:sz w:val="24"/>
          <w:szCs w:val="24"/>
        </w:rPr>
        <w:t>5</w:t>
      </w:r>
      <w:r>
        <w:rPr>
          <w:rFonts w:ascii="宋体" w:hAnsi="宋体" w:cs="宋体"/>
          <w:b/>
          <w:sz w:val="24"/>
          <w:szCs w:val="24"/>
        </w:rPr>
        <w:t>、</w:t>
      </w:r>
      <w:r>
        <w:rPr>
          <w:rFonts w:hint="eastAsia" w:ascii="宋体" w:hAnsi="宋体" w:cs="宋体"/>
          <w:b/>
          <w:sz w:val="24"/>
          <w:szCs w:val="24"/>
        </w:rPr>
        <w:t>绿化</w:t>
      </w:r>
      <w:r>
        <w:rPr>
          <w:rFonts w:ascii="宋体" w:hAnsi="宋体" w:cs="宋体"/>
          <w:b/>
          <w:sz w:val="24"/>
          <w:szCs w:val="24"/>
        </w:rPr>
        <w:t>养护范围:</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.1</w:t>
      </w:r>
      <w:r>
        <w:rPr>
          <w:rFonts w:hint="eastAsia" w:ascii="宋体" w:hAnsi="宋体" w:cs="宋体"/>
          <w:sz w:val="24"/>
          <w:szCs w:val="24"/>
        </w:rPr>
        <w:t>南通群英馆、伶工学社</w:t>
      </w:r>
      <w:r>
        <w:rPr>
          <w:rFonts w:ascii="宋体" w:hAnsi="宋体" w:cs="宋体"/>
          <w:sz w:val="24"/>
          <w:szCs w:val="24"/>
        </w:rPr>
        <w:t>内所有绿化</w:t>
      </w:r>
      <w:r>
        <w:rPr>
          <w:rFonts w:hint="eastAsia" w:ascii="宋体" w:hAnsi="宋体" w:cs="宋体"/>
          <w:sz w:val="24"/>
          <w:szCs w:val="24"/>
        </w:rPr>
        <w:t>，不包含伶工学社三棵古树名木</w:t>
      </w:r>
      <w:r>
        <w:rPr>
          <w:rFonts w:ascii="宋体" w:hAnsi="宋体" w:cs="宋体"/>
          <w:sz w:val="24"/>
          <w:szCs w:val="24"/>
        </w:rPr>
        <w:t>。</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.2承包养护期限内，</w:t>
      </w:r>
      <w:r>
        <w:rPr>
          <w:rFonts w:hint="eastAsia" w:ascii="宋体" w:hAnsi="宋体" w:cs="宋体"/>
          <w:sz w:val="24"/>
          <w:szCs w:val="24"/>
        </w:rPr>
        <w:t>成交人</w:t>
      </w:r>
      <w:r>
        <w:rPr>
          <w:rFonts w:ascii="宋体" w:hAnsi="宋体" w:cs="宋体"/>
          <w:sz w:val="24"/>
          <w:szCs w:val="24"/>
        </w:rPr>
        <w:t>应按照园林绿化养护操作规程及园林绿化养护质量标准，合理组织，精心养护，保质保量完成养护管理任务。</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.3绿化主要养护内容及要求:</w:t>
      </w:r>
    </w:p>
    <w:p>
      <w:pPr>
        <w:adjustRightInd w:val="0"/>
        <w:snapToGrid w:val="0"/>
        <w:spacing w:line="440" w:lineRule="exact"/>
        <w:ind w:firstLine="480" w:firstLineChars="200"/>
        <w:rPr>
          <w:rFonts w:hint="eastAsia" w:ascii="宋体" w:hAnsi="宋体" w:cs="宋体"/>
          <w:color w:val="000000"/>
          <w:sz w:val="24"/>
          <w:szCs w:val="24"/>
        </w:rPr>
      </w:pPr>
      <w:r>
        <w:rPr>
          <w:rFonts w:hint="eastAsia" w:ascii="宋体" w:hAnsi="宋体" w:cs="宋体"/>
          <w:sz w:val="24"/>
          <w:szCs w:val="24"/>
        </w:rPr>
        <w:t>5</w:t>
      </w:r>
      <w:r>
        <w:rPr>
          <w:rFonts w:ascii="宋体" w:hAnsi="宋体" w:cs="宋体"/>
          <w:sz w:val="24"/>
          <w:szCs w:val="24"/>
        </w:rPr>
        <w:t>.3.1</w:t>
      </w:r>
      <w:r>
        <w:rPr>
          <w:rFonts w:hint="eastAsia" w:ascii="宋体" w:hAnsi="宋体" w:cs="宋体"/>
          <w:color w:val="000000"/>
          <w:sz w:val="24"/>
          <w:szCs w:val="24"/>
        </w:rPr>
        <w:t>.草籽：及时、适量追播两季草籽（黑麦草每平米播种量不低于25克、百慕大每平米播种量不低于15克）</w:t>
      </w:r>
    </w:p>
    <w:p>
      <w:pPr>
        <w:adjustRightInd w:val="0"/>
        <w:snapToGrid w:val="0"/>
        <w:spacing w:line="440" w:lineRule="exact"/>
        <w:ind w:firstLine="480" w:firstLineChars="200"/>
        <w:rPr>
          <w:rFonts w:hint="eastAsia" w:ascii="宋体" w:hAnsi="宋体" w:cs="宋体"/>
          <w:color w:val="000000"/>
          <w:sz w:val="24"/>
          <w:szCs w:val="24"/>
        </w:rPr>
      </w:pPr>
      <w:r>
        <w:rPr>
          <w:rFonts w:hint="eastAsia" w:ascii="宋体" w:hAnsi="宋体" w:cs="宋体"/>
          <w:sz w:val="24"/>
          <w:szCs w:val="24"/>
        </w:rPr>
        <w:t>5</w:t>
      </w:r>
      <w:r>
        <w:rPr>
          <w:rFonts w:ascii="宋体" w:hAnsi="宋体" w:cs="宋体"/>
          <w:sz w:val="24"/>
          <w:szCs w:val="24"/>
        </w:rPr>
        <w:t>.3.2</w:t>
      </w:r>
      <w:r>
        <w:rPr>
          <w:rFonts w:hint="eastAsia" w:ascii="宋体" w:hAnsi="宋体" w:cs="宋体"/>
          <w:color w:val="000000"/>
          <w:sz w:val="24"/>
          <w:szCs w:val="24"/>
        </w:rPr>
        <w:t>草花：根据采购方要求更换四季草花，每平方米草花≥50株，草花种植面积约120平方米，规格为120杯，更换不低于4次。四季草花暂定品种：一串红、金盏菊、夏堇、羽叶甘兰、彩叶草、万寿菊、太阳花、鸡冠花、矮牵牛、报春花、孔雀草、夏堇、海棠、长春花等，种植须提前与招标人确定草花品种。</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.3.</w:t>
      </w:r>
      <w:r>
        <w:rPr>
          <w:rFonts w:hint="eastAsia" w:ascii="宋体" w:hAnsi="宋体" w:cs="宋体"/>
          <w:sz w:val="24"/>
          <w:szCs w:val="24"/>
        </w:rPr>
        <w:t>3</w:t>
      </w:r>
      <w:r>
        <w:rPr>
          <w:rFonts w:ascii="宋体" w:hAnsi="宋体" w:cs="宋体"/>
          <w:sz w:val="24"/>
          <w:szCs w:val="24"/>
        </w:rPr>
        <w:t>草皮绿地:平整、无杂物、无杂草滋生、无黄土露出，确保草坪生长繁茂、平整高度控制在10厘米为宜，绿篱保证成型美观，生长旺盛，无枯黄，适时</w:t>
      </w:r>
      <w:r>
        <w:rPr>
          <w:rFonts w:hint="eastAsia" w:ascii="宋体" w:hAnsi="宋体" w:cs="宋体"/>
          <w:sz w:val="24"/>
          <w:szCs w:val="24"/>
        </w:rPr>
        <w:t>浇</w:t>
      </w:r>
      <w:r>
        <w:rPr>
          <w:rFonts w:ascii="宋体" w:hAnsi="宋体" w:cs="宋体"/>
          <w:sz w:val="24"/>
          <w:szCs w:val="24"/>
        </w:rPr>
        <w:t>水，按照操作规程适时进行。</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.3.</w:t>
      </w:r>
      <w:r>
        <w:rPr>
          <w:rFonts w:hint="eastAsia" w:ascii="宋体" w:hAnsi="宋体" w:cs="宋体"/>
          <w:sz w:val="24"/>
          <w:szCs w:val="24"/>
        </w:rPr>
        <w:t>4</w:t>
      </w:r>
      <w:r>
        <w:rPr>
          <w:rFonts w:ascii="宋体" w:hAnsi="宋体" w:cs="宋体"/>
          <w:sz w:val="24"/>
          <w:szCs w:val="24"/>
        </w:rPr>
        <w:t>绿</w:t>
      </w:r>
      <w:r>
        <w:rPr>
          <w:rFonts w:hint="eastAsia" w:ascii="宋体" w:hAnsi="宋体" w:cs="宋体"/>
          <w:sz w:val="24"/>
          <w:szCs w:val="24"/>
        </w:rPr>
        <w:t>篱</w:t>
      </w:r>
      <w:r>
        <w:rPr>
          <w:rFonts w:ascii="宋体" w:hAnsi="宋体" w:cs="宋体"/>
          <w:sz w:val="24"/>
          <w:szCs w:val="24"/>
        </w:rPr>
        <w:t>、花球:平整圆滑、造型优美，花色调配适中，适宜观赏，无黄叶、无折断，无蛀虫，无尘土、无</w:t>
      </w:r>
      <w:r>
        <w:rPr>
          <w:rFonts w:hint="eastAsia" w:ascii="宋体" w:hAnsi="宋体" w:cs="宋体"/>
          <w:sz w:val="24"/>
          <w:szCs w:val="24"/>
        </w:rPr>
        <w:t>枯</w:t>
      </w:r>
      <w:r>
        <w:rPr>
          <w:rFonts w:ascii="宋体" w:hAnsi="宋体" w:cs="宋体"/>
          <w:sz w:val="24"/>
          <w:szCs w:val="24"/>
        </w:rPr>
        <w:t>枝败叶，适时浇水。</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.3.</w:t>
      </w:r>
      <w:r>
        <w:rPr>
          <w:rFonts w:hint="eastAsia" w:ascii="宋体" w:hAnsi="宋体" w:cs="宋体"/>
          <w:sz w:val="24"/>
          <w:szCs w:val="24"/>
        </w:rPr>
        <w:t>5浇</w:t>
      </w:r>
      <w:r>
        <w:rPr>
          <w:rFonts w:ascii="宋体" w:hAnsi="宋体" w:cs="宋体"/>
          <w:sz w:val="24"/>
          <w:szCs w:val="24"/>
        </w:rPr>
        <w:t>水，排水</w:t>
      </w:r>
      <w:r>
        <w:rPr>
          <w:rFonts w:hint="eastAsia" w:ascii="宋体" w:hAnsi="宋体" w:cs="宋体"/>
          <w:sz w:val="24"/>
          <w:szCs w:val="24"/>
        </w:rPr>
        <w:t>：</w:t>
      </w:r>
      <w:r>
        <w:rPr>
          <w:rFonts w:ascii="宋体" w:hAnsi="宋体" w:cs="宋体"/>
          <w:sz w:val="24"/>
          <w:szCs w:val="24"/>
        </w:rPr>
        <w:t>经常检查排</w:t>
      </w:r>
      <w:r>
        <w:rPr>
          <w:rFonts w:hint="eastAsia" w:ascii="宋体" w:hAnsi="宋体" w:cs="宋体"/>
          <w:sz w:val="24"/>
          <w:szCs w:val="24"/>
        </w:rPr>
        <w:t>灌</w:t>
      </w:r>
      <w:r>
        <w:rPr>
          <w:rFonts w:ascii="宋体" w:hAnsi="宋体" w:cs="宋体"/>
          <w:sz w:val="24"/>
          <w:szCs w:val="24"/>
        </w:rPr>
        <w:t>情况，保证无积水，无</w:t>
      </w:r>
      <w:r>
        <w:rPr>
          <w:rFonts w:hint="eastAsia" w:ascii="宋体" w:hAnsi="宋体" w:cs="宋体"/>
          <w:sz w:val="24"/>
          <w:szCs w:val="24"/>
        </w:rPr>
        <w:t>旱</w:t>
      </w:r>
      <w:r>
        <w:rPr>
          <w:rFonts w:ascii="宋体" w:hAnsi="宋体" w:cs="宋体"/>
          <w:sz w:val="24"/>
          <w:szCs w:val="24"/>
        </w:rPr>
        <w:t>情，不得因</w:t>
      </w:r>
      <w:r>
        <w:rPr>
          <w:rFonts w:hint="eastAsia" w:ascii="宋体" w:hAnsi="宋体" w:cs="宋体"/>
          <w:sz w:val="24"/>
          <w:szCs w:val="24"/>
        </w:rPr>
        <w:t>涝</w:t>
      </w:r>
      <w:r>
        <w:rPr>
          <w:rFonts w:ascii="宋体" w:hAnsi="宋体" w:cs="宋体"/>
          <w:sz w:val="24"/>
          <w:szCs w:val="24"/>
        </w:rPr>
        <w:t>、旱影响植物生长，夏季浇水在早晚进行，避免高温季节午间</w:t>
      </w:r>
      <w:r>
        <w:rPr>
          <w:rFonts w:hint="eastAsia" w:ascii="宋体" w:hAnsi="宋体" w:cs="宋体"/>
          <w:sz w:val="24"/>
          <w:szCs w:val="24"/>
        </w:rPr>
        <w:t>浇</w:t>
      </w:r>
      <w:r>
        <w:rPr>
          <w:rFonts w:ascii="宋体" w:hAnsi="宋体" w:cs="宋体"/>
          <w:sz w:val="24"/>
          <w:szCs w:val="24"/>
        </w:rPr>
        <w:t>水，冬季浇水在中午进行，干</w:t>
      </w:r>
      <w:r>
        <w:rPr>
          <w:rFonts w:hint="eastAsia" w:ascii="宋体" w:hAnsi="宋体" w:cs="宋体"/>
          <w:sz w:val="24"/>
          <w:szCs w:val="24"/>
        </w:rPr>
        <w:t>旱</w:t>
      </w:r>
      <w:r>
        <w:rPr>
          <w:rFonts w:ascii="宋体" w:hAnsi="宋体" w:cs="宋体"/>
          <w:sz w:val="24"/>
          <w:szCs w:val="24"/>
        </w:rPr>
        <w:t>季节应</w:t>
      </w:r>
      <w:r>
        <w:rPr>
          <w:rFonts w:hint="eastAsia" w:ascii="宋体" w:hAnsi="宋体" w:cs="宋体"/>
          <w:sz w:val="24"/>
          <w:szCs w:val="24"/>
        </w:rPr>
        <w:t>满</w:t>
      </w:r>
      <w:r>
        <w:rPr>
          <w:rFonts w:ascii="宋体" w:hAnsi="宋体" w:cs="宋体"/>
          <w:sz w:val="24"/>
          <w:szCs w:val="24"/>
        </w:rPr>
        <w:t>足草坪生长所需的水份。</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.3.</w:t>
      </w:r>
      <w:r>
        <w:rPr>
          <w:rFonts w:hint="eastAsia" w:ascii="宋体" w:hAnsi="宋体" w:cs="宋体"/>
          <w:sz w:val="24"/>
          <w:szCs w:val="24"/>
        </w:rPr>
        <w:t>6</w:t>
      </w:r>
      <w:r>
        <w:rPr>
          <w:rFonts w:ascii="宋体" w:hAnsi="宋体" w:cs="宋体"/>
          <w:sz w:val="24"/>
          <w:szCs w:val="24"/>
        </w:rPr>
        <w:t>病虫</w:t>
      </w:r>
      <w:r>
        <w:rPr>
          <w:rFonts w:hint="eastAsia" w:ascii="宋体" w:hAnsi="宋体" w:cs="宋体"/>
          <w:sz w:val="24"/>
          <w:szCs w:val="24"/>
        </w:rPr>
        <w:t>害</w:t>
      </w:r>
      <w:r>
        <w:rPr>
          <w:rFonts w:ascii="宋体" w:hAnsi="宋体" w:cs="宋体"/>
          <w:sz w:val="24"/>
          <w:szCs w:val="24"/>
        </w:rPr>
        <w:t>防治</w:t>
      </w:r>
      <w:r>
        <w:rPr>
          <w:rFonts w:hint="eastAsia" w:ascii="宋体" w:hAnsi="宋体" w:cs="宋体"/>
          <w:sz w:val="24"/>
          <w:szCs w:val="24"/>
        </w:rPr>
        <w:t>：</w:t>
      </w:r>
      <w:r>
        <w:rPr>
          <w:rFonts w:ascii="宋体" w:hAnsi="宋体" w:cs="宋体"/>
          <w:sz w:val="24"/>
          <w:szCs w:val="24"/>
        </w:rPr>
        <w:t>适时打药，防虫害，</w:t>
      </w:r>
      <w:r>
        <w:rPr>
          <w:rFonts w:hint="eastAsia" w:ascii="宋体" w:hAnsi="宋体" w:cs="宋体"/>
          <w:sz w:val="24"/>
          <w:szCs w:val="24"/>
        </w:rPr>
        <w:t>刷</w:t>
      </w:r>
      <w:r>
        <w:rPr>
          <w:rFonts w:ascii="宋体" w:hAnsi="宋体" w:cs="宋体"/>
          <w:sz w:val="24"/>
          <w:szCs w:val="24"/>
        </w:rPr>
        <w:t>石灰水消毒，提高树木</w:t>
      </w:r>
      <w:r>
        <w:rPr>
          <w:rFonts w:hint="eastAsia" w:ascii="宋体" w:hAnsi="宋体" w:cs="宋体"/>
          <w:sz w:val="24"/>
          <w:szCs w:val="24"/>
        </w:rPr>
        <w:t>抗</w:t>
      </w:r>
      <w:r>
        <w:rPr>
          <w:rFonts w:ascii="宋体" w:hAnsi="宋体" w:cs="宋体"/>
          <w:sz w:val="24"/>
          <w:szCs w:val="24"/>
        </w:rPr>
        <w:t>痛虫能力</w:t>
      </w:r>
      <w:r>
        <w:rPr>
          <w:rFonts w:hint="eastAsia" w:ascii="宋体" w:hAnsi="宋体" w:cs="宋体"/>
          <w:sz w:val="24"/>
          <w:szCs w:val="24"/>
        </w:rPr>
        <w:t>。根据</w:t>
      </w:r>
      <w:r>
        <w:rPr>
          <w:rFonts w:ascii="宋体" w:hAnsi="宋体" w:cs="宋体"/>
          <w:sz w:val="24"/>
          <w:szCs w:val="24"/>
        </w:rPr>
        <w:t>植物的特点，选择效果好</w:t>
      </w:r>
      <w:r>
        <w:rPr>
          <w:rFonts w:hint="eastAsia" w:ascii="宋体" w:hAnsi="宋体" w:cs="宋体"/>
          <w:sz w:val="24"/>
          <w:szCs w:val="24"/>
        </w:rPr>
        <w:t>、</w:t>
      </w:r>
      <w:r>
        <w:rPr>
          <w:rFonts w:ascii="宋体" w:hAnsi="宋体" w:cs="宋体"/>
          <w:sz w:val="24"/>
          <w:szCs w:val="24"/>
        </w:rPr>
        <w:t>对植物无伤害的药物，确保树木花草无病虫症状。药物防治必须要做到对空气、水体等不产生污染，不得对植物有药害现象。</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.3.</w:t>
      </w:r>
      <w:r>
        <w:rPr>
          <w:rFonts w:hint="eastAsia" w:ascii="宋体" w:hAnsi="宋体" w:cs="宋体"/>
          <w:sz w:val="24"/>
          <w:szCs w:val="24"/>
        </w:rPr>
        <w:t>7</w:t>
      </w:r>
      <w:r>
        <w:rPr>
          <w:rFonts w:ascii="宋体" w:hAnsi="宋体" w:cs="宋体"/>
          <w:sz w:val="24"/>
          <w:szCs w:val="24"/>
        </w:rPr>
        <w:t>施肥:可根据各类植物的生长特点及植物对肥料的需要进行施肥，以保持各类植物的生长旺盛达到一定景观效果。</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.3.</w:t>
      </w:r>
      <w:r>
        <w:rPr>
          <w:rFonts w:hint="eastAsia" w:ascii="宋体" w:hAnsi="宋体" w:cs="宋体"/>
          <w:sz w:val="24"/>
          <w:szCs w:val="24"/>
        </w:rPr>
        <w:t>8</w:t>
      </w:r>
      <w:r>
        <w:rPr>
          <w:rFonts w:ascii="宋体" w:hAnsi="宋体" w:cs="宋体"/>
          <w:sz w:val="24"/>
          <w:szCs w:val="24"/>
        </w:rPr>
        <w:t>防旱、防台、防涝:</w:t>
      </w:r>
      <w:r>
        <w:rPr>
          <w:rFonts w:hint="eastAsia" w:ascii="宋体" w:hAnsi="宋体" w:cs="宋体"/>
          <w:sz w:val="24"/>
          <w:szCs w:val="24"/>
        </w:rPr>
        <w:t>旱</w:t>
      </w:r>
      <w:r>
        <w:rPr>
          <w:rFonts w:ascii="宋体" w:hAnsi="宋体" w:cs="宋体"/>
          <w:sz w:val="24"/>
          <w:szCs w:val="24"/>
        </w:rPr>
        <w:t>季及新种植物要及时进行灌溉，防止植物因脱水而造成枯死</w:t>
      </w:r>
      <w:r>
        <w:rPr>
          <w:rFonts w:hint="eastAsia" w:ascii="宋体" w:hAnsi="宋体" w:cs="宋体"/>
          <w:sz w:val="24"/>
          <w:szCs w:val="24"/>
        </w:rPr>
        <w:t>。</w:t>
      </w:r>
      <w:r>
        <w:rPr>
          <w:rFonts w:ascii="宋体" w:hAnsi="宋体" w:cs="宋体"/>
          <w:sz w:val="24"/>
          <w:szCs w:val="24"/>
        </w:rPr>
        <w:t>台汛期间要做好加固、排涝抢险工作，防止植物受损。</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.3.</w:t>
      </w:r>
      <w:r>
        <w:rPr>
          <w:rFonts w:hint="eastAsia" w:ascii="宋体" w:hAnsi="宋体" w:cs="宋体"/>
          <w:sz w:val="24"/>
          <w:szCs w:val="24"/>
        </w:rPr>
        <w:t>9</w:t>
      </w:r>
      <w:r>
        <w:rPr>
          <w:rFonts w:ascii="宋体" w:hAnsi="宋体" w:cs="宋体"/>
          <w:sz w:val="24"/>
          <w:szCs w:val="24"/>
        </w:rPr>
        <w:t> 树木养护:乔木和灌木修剪以自然树形为主，形成观赏效果。均衡树势、美化树型，根据植物生态习性，及时采取必要的防寒防晒防风措施，保持乔灌木生长环境良好，注重美观，树木无死树、枯枝。</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.3.</w:t>
      </w:r>
      <w:r>
        <w:rPr>
          <w:rFonts w:hint="eastAsia" w:ascii="宋体" w:hAnsi="宋体" w:cs="宋体"/>
          <w:sz w:val="24"/>
          <w:szCs w:val="24"/>
        </w:rPr>
        <w:t>10</w:t>
      </w:r>
      <w:r>
        <w:rPr>
          <w:rFonts w:ascii="宋体" w:hAnsi="宋体" w:cs="宋体"/>
          <w:sz w:val="24"/>
          <w:szCs w:val="24"/>
        </w:rPr>
        <w:t>环境卫生:负责及时清理绿化区内草叶枯枝杂物，自行运至区域外并合规处理。</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.3.</w:t>
      </w:r>
      <w:r>
        <w:rPr>
          <w:rFonts w:hint="eastAsia" w:ascii="宋体" w:hAnsi="宋体" w:cs="宋体"/>
          <w:sz w:val="24"/>
          <w:szCs w:val="24"/>
        </w:rPr>
        <w:t>11</w:t>
      </w:r>
      <w:r>
        <w:rPr>
          <w:rFonts w:ascii="宋体" w:hAnsi="宋体" w:cs="宋体"/>
          <w:sz w:val="24"/>
          <w:szCs w:val="24"/>
        </w:rPr>
        <w:t>对四盆红花</w:t>
      </w:r>
      <w:r>
        <w:rPr>
          <w:rFonts w:hint="eastAsia" w:ascii="宋体" w:hAnsi="宋体" w:cs="宋体"/>
          <w:sz w:val="24"/>
          <w:szCs w:val="24"/>
        </w:rPr>
        <w:t>檵</w:t>
      </w:r>
      <w:r>
        <w:rPr>
          <w:rFonts w:ascii="宋体" w:hAnsi="宋体" w:cs="宋体"/>
          <w:sz w:val="24"/>
          <w:szCs w:val="24"/>
        </w:rPr>
        <w:t>木古桩盆景，精细养护，确保存活，生长健康。其它植物保证100%存活率。</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.4</w:t>
      </w:r>
      <w:r>
        <w:rPr>
          <w:rFonts w:hint="eastAsia" w:ascii="宋体" w:hAnsi="宋体" w:cs="宋体"/>
          <w:sz w:val="24"/>
          <w:szCs w:val="24"/>
        </w:rPr>
        <w:t>成交人</w:t>
      </w:r>
      <w:r>
        <w:rPr>
          <w:rFonts w:ascii="宋体" w:hAnsi="宋体" w:cs="宋体"/>
          <w:sz w:val="24"/>
          <w:szCs w:val="24"/>
        </w:rPr>
        <w:t>应定期</w:t>
      </w:r>
      <w:r>
        <w:rPr>
          <w:rFonts w:hint="eastAsia" w:ascii="宋体" w:hAnsi="宋体" w:cs="宋体"/>
          <w:sz w:val="24"/>
          <w:szCs w:val="24"/>
        </w:rPr>
        <w:t>（每月）</w:t>
      </w:r>
      <w:r>
        <w:rPr>
          <w:rFonts w:ascii="宋体" w:hAnsi="宋体" w:cs="宋体"/>
          <w:sz w:val="24"/>
          <w:szCs w:val="24"/>
        </w:rPr>
        <w:t>向</w:t>
      </w:r>
      <w:r>
        <w:rPr>
          <w:rFonts w:hint="eastAsia" w:ascii="宋体" w:hAnsi="宋体" w:cs="宋体"/>
          <w:sz w:val="24"/>
          <w:szCs w:val="24"/>
        </w:rPr>
        <w:t>采购人</w:t>
      </w:r>
      <w:r>
        <w:rPr>
          <w:rFonts w:ascii="宋体" w:hAnsi="宋体" w:cs="宋体"/>
          <w:sz w:val="24"/>
          <w:szCs w:val="24"/>
        </w:rPr>
        <w:t>汇报养护管理计划及有关措施。</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.5在本协议承包期限内，由于非</w:t>
      </w:r>
      <w:r>
        <w:rPr>
          <w:rFonts w:hint="eastAsia" w:ascii="宋体" w:hAnsi="宋体" w:cs="宋体"/>
          <w:sz w:val="24"/>
          <w:szCs w:val="24"/>
        </w:rPr>
        <w:t>采购人</w:t>
      </w:r>
      <w:r>
        <w:rPr>
          <w:rFonts w:ascii="宋体" w:hAnsi="宋体" w:cs="宋体"/>
          <w:sz w:val="24"/>
          <w:szCs w:val="24"/>
        </w:rPr>
        <w:t>原因本协议项下任何绿化养护发生任何质量问题，</w:t>
      </w:r>
      <w:r>
        <w:rPr>
          <w:rFonts w:hint="eastAsia" w:ascii="宋体" w:hAnsi="宋体" w:cs="宋体"/>
          <w:sz w:val="24"/>
          <w:szCs w:val="24"/>
        </w:rPr>
        <w:t>成交人</w:t>
      </w:r>
      <w:r>
        <w:rPr>
          <w:rFonts w:ascii="宋体" w:hAnsi="宋体" w:cs="宋体"/>
          <w:sz w:val="24"/>
          <w:szCs w:val="24"/>
        </w:rPr>
        <w:t>应当在接到</w:t>
      </w:r>
      <w:r>
        <w:rPr>
          <w:rFonts w:hint="eastAsia" w:ascii="宋体" w:hAnsi="宋体" w:cs="宋体"/>
          <w:sz w:val="24"/>
          <w:szCs w:val="24"/>
        </w:rPr>
        <w:t>采购人</w:t>
      </w:r>
      <w:r>
        <w:rPr>
          <w:rFonts w:ascii="宋体" w:hAnsi="宋体" w:cs="宋体"/>
          <w:sz w:val="24"/>
          <w:szCs w:val="24"/>
        </w:rPr>
        <w:t>维护通知之日起</w:t>
      </w:r>
      <w:r>
        <w:rPr>
          <w:rFonts w:hint="eastAsia" w:ascii="宋体" w:hAnsi="宋体" w:cs="宋体"/>
          <w:sz w:val="24"/>
          <w:szCs w:val="24"/>
        </w:rPr>
        <w:t>3</w:t>
      </w:r>
      <w:r>
        <w:rPr>
          <w:rFonts w:ascii="宋体" w:hAnsi="宋体" w:cs="宋体"/>
          <w:sz w:val="24"/>
          <w:szCs w:val="24"/>
        </w:rPr>
        <w:t>天内派人修整，否则</w:t>
      </w:r>
      <w:r>
        <w:rPr>
          <w:rFonts w:hint="eastAsia" w:ascii="宋体" w:hAnsi="宋体" w:cs="宋体"/>
          <w:sz w:val="24"/>
          <w:szCs w:val="24"/>
        </w:rPr>
        <w:t>采购人</w:t>
      </w:r>
      <w:r>
        <w:rPr>
          <w:rFonts w:ascii="宋体" w:hAnsi="宋体" w:cs="宋体"/>
          <w:sz w:val="24"/>
          <w:szCs w:val="24"/>
        </w:rPr>
        <w:t>可以委托他人修整，由此发生的费用从合同价款中扣除。</w:t>
      </w:r>
    </w:p>
    <w:p>
      <w:pPr>
        <w:adjustRightInd w:val="0"/>
        <w:snapToGrid w:val="0"/>
        <w:spacing w:line="440" w:lineRule="exact"/>
        <w:ind w:firstLine="482" w:firstLineChars="200"/>
        <w:rPr>
          <w:rFonts w:hint="eastAsia" w:ascii="宋体" w:hAnsi="宋体" w:cs="宋体"/>
          <w:b/>
          <w:sz w:val="24"/>
          <w:szCs w:val="24"/>
        </w:rPr>
      </w:pPr>
      <w:r>
        <w:rPr>
          <w:rFonts w:hint="eastAsia" w:ascii="宋体" w:hAnsi="宋体" w:cs="宋体"/>
          <w:b/>
          <w:sz w:val="24"/>
          <w:szCs w:val="24"/>
        </w:rPr>
        <w:t>6</w:t>
      </w:r>
      <w:r>
        <w:rPr>
          <w:rFonts w:ascii="宋体" w:hAnsi="宋体" w:cs="宋体"/>
          <w:b/>
          <w:sz w:val="24"/>
          <w:szCs w:val="24"/>
        </w:rPr>
        <w:t>、绿化养护工程规程:</w:t>
      </w:r>
    </w:p>
    <w:p>
      <w:pPr>
        <w:adjustRightInd w:val="0"/>
        <w:snapToGrid w:val="0"/>
        <w:spacing w:line="440" w:lineRule="exact"/>
        <w:ind w:firstLine="482" w:firstLineChars="200"/>
        <w:rPr>
          <w:rFonts w:hint="eastAsia" w:ascii="宋体" w:hAnsi="宋体" w:cs="宋体"/>
          <w:b/>
          <w:sz w:val="24"/>
          <w:szCs w:val="24"/>
        </w:rPr>
      </w:pPr>
      <w:r>
        <w:rPr>
          <w:rFonts w:ascii="宋体" w:hAnsi="宋体" w:cs="宋体"/>
          <w:b/>
          <w:sz w:val="24"/>
          <w:szCs w:val="24"/>
        </w:rPr>
        <w:t>春季</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、树木修剪:落叶树整形修剪及剥芽修剪</w:t>
      </w:r>
      <w:r>
        <w:rPr>
          <w:rFonts w:hint="eastAsia" w:ascii="宋体" w:hAnsi="宋体" w:cs="宋体"/>
          <w:sz w:val="24"/>
          <w:szCs w:val="24"/>
        </w:rPr>
        <w:t>；</w:t>
      </w:r>
      <w:r>
        <w:rPr>
          <w:rFonts w:ascii="宋体" w:hAnsi="宋体" w:cs="宋体"/>
          <w:sz w:val="24"/>
          <w:szCs w:val="24"/>
        </w:rPr>
        <w:t>花灌木花后修剪</w:t>
      </w:r>
      <w:r>
        <w:rPr>
          <w:rFonts w:hint="eastAsia" w:ascii="宋体" w:hAnsi="宋体" w:cs="宋体"/>
          <w:sz w:val="24"/>
          <w:szCs w:val="24"/>
        </w:rPr>
        <w:t>；</w:t>
      </w:r>
      <w:r>
        <w:rPr>
          <w:rFonts w:ascii="宋体" w:hAnsi="宋体" w:cs="宋体"/>
          <w:sz w:val="24"/>
          <w:szCs w:val="24"/>
        </w:rPr>
        <w:t>绿篱</w:t>
      </w:r>
      <w:r>
        <w:rPr>
          <w:rFonts w:hint="eastAsia" w:ascii="宋体" w:hAnsi="宋体" w:cs="宋体"/>
          <w:sz w:val="24"/>
          <w:szCs w:val="24"/>
        </w:rPr>
        <w:t>、</w:t>
      </w:r>
      <w:r>
        <w:rPr>
          <w:rFonts w:ascii="宋体" w:hAnsi="宋体" w:cs="宋体"/>
          <w:sz w:val="24"/>
          <w:szCs w:val="24"/>
        </w:rPr>
        <w:t>球类徒长枝修除,绿篱和球类的整形修剪。</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2、树木施肥:冬季开花的花灌木花后修剪后追肥。</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3、草坪剪轧:草坪剪轧，包括轧前杂物清理及轧后碎草清扫、草坪收边。</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4、草坪挑草:人工挑草大型野草(车前草等)。</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5、病虫害防治:主要防治大叶黄杨斑蛾及瓜子绢野螟及星天牛、桑天牛。</w:t>
      </w:r>
    </w:p>
    <w:p>
      <w:pPr>
        <w:adjustRightInd w:val="0"/>
        <w:snapToGrid w:val="0"/>
        <w:spacing w:line="440" w:lineRule="exact"/>
        <w:ind w:firstLine="482" w:firstLineChars="200"/>
        <w:rPr>
          <w:rFonts w:hint="eastAsia" w:ascii="宋体" w:hAnsi="宋体" w:cs="宋体"/>
          <w:b/>
          <w:sz w:val="24"/>
          <w:szCs w:val="24"/>
        </w:rPr>
      </w:pPr>
      <w:r>
        <w:rPr>
          <w:rFonts w:hint="eastAsia" w:ascii="宋体" w:hAnsi="宋体" w:cs="宋体"/>
          <w:b/>
          <w:sz w:val="24"/>
          <w:szCs w:val="24"/>
        </w:rPr>
        <w:t>夏季</w:t>
      </w:r>
    </w:p>
    <w:p>
      <w:pPr>
        <w:numPr>
          <w:ilvl w:val="0"/>
          <w:numId w:val="6"/>
        </w:numPr>
        <w:adjustRightInd w:val="0"/>
        <w:snapToGrid w:val="0"/>
        <w:spacing w:line="440" w:lineRule="exact"/>
        <w:ind w:firstLine="480"/>
        <w:rPr>
          <w:rFonts w:hint="eastAsia" w:ascii="宋体" w:hAnsi="宋体" w:cs="宋体"/>
          <w:sz w:val="24"/>
          <w:szCs w:val="24"/>
        </w:rPr>
      </w:pPr>
      <w:r>
        <w:rPr>
          <w:rFonts w:ascii="宋体" w:hAnsi="宋体" w:cs="宋体"/>
          <w:sz w:val="24"/>
          <w:szCs w:val="24"/>
        </w:rPr>
        <w:t>防台防汛:主要是易倒伏树木疏枝修剪和里</w:t>
      </w:r>
      <w:r>
        <w:rPr>
          <w:rFonts w:hint="eastAsia" w:ascii="宋体" w:hAnsi="宋体" w:cs="宋体"/>
          <w:sz w:val="24"/>
          <w:szCs w:val="24"/>
        </w:rPr>
        <w:t>柱</w:t>
      </w:r>
      <w:r>
        <w:rPr>
          <w:rFonts w:ascii="宋体" w:hAnsi="宋体" w:cs="宋体"/>
          <w:sz w:val="24"/>
          <w:szCs w:val="24"/>
        </w:rPr>
        <w:t>绑扎，</w:t>
      </w:r>
      <w:r>
        <w:rPr>
          <w:rFonts w:hint="eastAsia" w:ascii="宋体" w:hAnsi="宋体" w:cs="宋体"/>
          <w:sz w:val="24"/>
          <w:szCs w:val="24"/>
        </w:rPr>
        <w:t>新种树木加支或绳索固定，原有</w:t>
      </w:r>
      <w:r>
        <w:rPr>
          <w:rFonts w:ascii="宋体" w:hAnsi="宋体" w:cs="宋体"/>
          <w:sz w:val="24"/>
          <w:szCs w:val="24"/>
        </w:rPr>
        <w:t>缺柱的补柱重新拉固</w:t>
      </w:r>
      <w:r>
        <w:rPr>
          <w:rFonts w:hint="eastAsia" w:ascii="宋体" w:hAnsi="宋体" w:cs="宋体"/>
          <w:sz w:val="24"/>
          <w:szCs w:val="24"/>
        </w:rPr>
        <w:t>。</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2.树木修剪:对回缩树木的剥芽修剪</w:t>
      </w:r>
      <w:r>
        <w:rPr>
          <w:rFonts w:hint="eastAsia" w:ascii="宋体" w:hAnsi="宋体" w:cs="宋体"/>
          <w:sz w:val="24"/>
          <w:szCs w:val="24"/>
        </w:rPr>
        <w:t>；</w:t>
      </w:r>
      <w:r>
        <w:rPr>
          <w:rFonts w:ascii="宋体" w:hAnsi="宋体" w:cs="宋体"/>
          <w:sz w:val="24"/>
          <w:szCs w:val="24"/>
        </w:rPr>
        <w:t>紫薇第二次剥芽</w:t>
      </w:r>
      <w:r>
        <w:rPr>
          <w:rFonts w:hint="eastAsia" w:ascii="宋体" w:hAnsi="宋体" w:cs="宋体"/>
          <w:sz w:val="24"/>
          <w:szCs w:val="24"/>
        </w:rPr>
        <w:t>。</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3、搞</w:t>
      </w:r>
      <w:r>
        <w:rPr>
          <w:rFonts w:hint="eastAsia" w:ascii="宋体" w:hAnsi="宋体" w:cs="宋体"/>
          <w:sz w:val="24"/>
          <w:szCs w:val="24"/>
        </w:rPr>
        <w:t>旱</w:t>
      </w:r>
      <w:r>
        <w:rPr>
          <w:rFonts w:ascii="宋体" w:hAnsi="宋体" w:cs="宋体"/>
          <w:sz w:val="24"/>
          <w:szCs w:val="24"/>
        </w:rPr>
        <w:t>浇水，高温天气，及时对新树木、干早树木进行</w:t>
      </w:r>
      <w:r>
        <w:rPr>
          <w:rFonts w:hint="eastAsia" w:ascii="宋体" w:hAnsi="宋体" w:cs="宋体"/>
          <w:sz w:val="24"/>
          <w:szCs w:val="24"/>
        </w:rPr>
        <w:t>浇</w:t>
      </w:r>
      <w:r>
        <w:rPr>
          <w:rFonts w:ascii="宋体" w:hAnsi="宋体" w:cs="宋体"/>
          <w:sz w:val="24"/>
          <w:szCs w:val="24"/>
        </w:rPr>
        <w:t>灌。</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4、草坪除草:化学除草跟踪调查，补遗漏处及药效不明显处。</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5、病虫害防治:人工挑除或填塞熏杀</w:t>
      </w:r>
      <w:r>
        <w:rPr>
          <w:rFonts w:hint="eastAsia" w:ascii="宋体" w:hAnsi="宋体" w:cs="宋体"/>
          <w:sz w:val="24"/>
          <w:szCs w:val="24"/>
        </w:rPr>
        <w:t>棒</w:t>
      </w:r>
      <w:r>
        <w:rPr>
          <w:rFonts w:ascii="宋体" w:hAnsi="宋体" w:cs="宋体"/>
          <w:sz w:val="24"/>
          <w:szCs w:val="24"/>
        </w:rPr>
        <w:t>防治天牛等</w:t>
      </w:r>
      <w:r>
        <w:rPr>
          <w:rFonts w:hint="eastAsia" w:ascii="宋体" w:hAnsi="宋体" w:cs="宋体"/>
          <w:sz w:val="24"/>
          <w:szCs w:val="24"/>
        </w:rPr>
        <w:t>蛀</w:t>
      </w:r>
      <w:r>
        <w:rPr>
          <w:rFonts w:ascii="宋体" w:hAnsi="宋体" w:cs="宋体"/>
          <w:sz w:val="24"/>
          <w:szCs w:val="24"/>
        </w:rPr>
        <w:t>干性害虫。观察刺</w:t>
      </w:r>
      <w:r>
        <w:rPr>
          <w:rFonts w:hint="eastAsia" w:ascii="宋体" w:hAnsi="宋体" w:cs="宋体"/>
          <w:sz w:val="24"/>
          <w:szCs w:val="24"/>
        </w:rPr>
        <w:t>蛾</w:t>
      </w:r>
      <w:r>
        <w:rPr>
          <w:rFonts w:ascii="宋体" w:hAnsi="宋体" w:cs="宋体"/>
          <w:sz w:val="24"/>
          <w:szCs w:val="24"/>
        </w:rPr>
        <w:t>及白粉病等病虫害的发生情况，及时防治。</w:t>
      </w:r>
    </w:p>
    <w:p>
      <w:pPr>
        <w:adjustRightInd w:val="0"/>
        <w:snapToGrid w:val="0"/>
        <w:spacing w:line="440" w:lineRule="exact"/>
        <w:ind w:firstLine="482" w:firstLineChars="200"/>
        <w:rPr>
          <w:rFonts w:hint="eastAsia" w:ascii="宋体" w:hAnsi="宋体" w:cs="宋体"/>
          <w:b/>
          <w:sz w:val="24"/>
          <w:szCs w:val="24"/>
        </w:rPr>
      </w:pPr>
      <w:r>
        <w:rPr>
          <w:rFonts w:ascii="宋体" w:hAnsi="宋体" w:cs="宋体"/>
          <w:b/>
          <w:sz w:val="24"/>
          <w:szCs w:val="24"/>
        </w:rPr>
        <w:t>秋季</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1、树木修剪:高大树木的整形修剪，主要是枯枝、病虫枝修剪，侧枝</w:t>
      </w:r>
      <w:r>
        <w:rPr>
          <w:rFonts w:hint="eastAsia" w:ascii="宋体" w:hAnsi="宋体" w:cs="宋体"/>
          <w:sz w:val="24"/>
          <w:szCs w:val="24"/>
        </w:rPr>
        <w:t>疏</w:t>
      </w:r>
      <w:r>
        <w:rPr>
          <w:rFonts w:ascii="宋体" w:hAnsi="宋体" w:cs="宋体"/>
          <w:sz w:val="24"/>
          <w:szCs w:val="24"/>
        </w:rPr>
        <w:t>枝修剪</w:t>
      </w:r>
      <w:r>
        <w:rPr>
          <w:rFonts w:hint="eastAsia" w:ascii="宋体" w:hAnsi="宋体" w:cs="宋体"/>
          <w:sz w:val="24"/>
          <w:szCs w:val="24"/>
        </w:rPr>
        <w:t>；</w:t>
      </w:r>
      <w:r>
        <w:rPr>
          <w:rFonts w:ascii="宋体" w:hAnsi="宋体" w:cs="宋体"/>
          <w:sz w:val="24"/>
          <w:szCs w:val="24"/>
        </w:rPr>
        <w:t>绿</w:t>
      </w:r>
      <w:r>
        <w:rPr>
          <w:rFonts w:hint="eastAsia" w:ascii="宋体" w:hAnsi="宋体" w:cs="宋体"/>
          <w:sz w:val="24"/>
          <w:szCs w:val="24"/>
        </w:rPr>
        <w:t>篱</w:t>
      </w:r>
      <w:r>
        <w:rPr>
          <w:rFonts w:ascii="宋体" w:hAnsi="宋体" w:cs="宋体"/>
          <w:sz w:val="24"/>
          <w:szCs w:val="24"/>
        </w:rPr>
        <w:t>球类的整形修剪。</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2、树洞填补:部分病虫害或损伤后形成的树木孔洞检查、填补。</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3、树木施肥:部分土壤质量要求较高的树木进行施肥。</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4、草坪剪轧:做好收尾工作。</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5、树木翻土:部分树坛开始翻土工作。</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6、病虫害防治:主要是清除病虫害越冬代，人工捕捉虫巢和天牛。</w:t>
      </w:r>
    </w:p>
    <w:p>
      <w:pPr>
        <w:adjustRightInd w:val="0"/>
        <w:snapToGrid w:val="0"/>
        <w:spacing w:line="440" w:lineRule="exact"/>
        <w:ind w:firstLine="482" w:firstLineChars="200"/>
        <w:rPr>
          <w:rFonts w:hint="eastAsia" w:ascii="宋体" w:hAnsi="宋体" w:cs="宋体"/>
          <w:b/>
          <w:sz w:val="24"/>
          <w:szCs w:val="24"/>
        </w:rPr>
      </w:pPr>
      <w:r>
        <w:rPr>
          <w:rFonts w:hint="eastAsia" w:ascii="宋体" w:hAnsi="宋体" w:cs="宋体"/>
          <w:b/>
          <w:sz w:val="24"/>
          <w:szCs w:val="24"/>
        </w:rPr>
        <w:t>冬季</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1、树木修剪:高大树木的整形修剪，对乔木进行疏枝，清除枯枝、烂头、病枝。</w:t>
      </w:r>
    </w:p>
    <w:p>
      <w:pPr>
        <w:adjustRightInd w:val="0"/>
        <w:snapToGrid w:val="0"/>
        <w:spacing w:line="440" w:lineRule="exact"/>
        <w:ind w:firstLine="480" w:firstLineChars="200"/>
        <w:rPr>
          <w:rFonts w:hint="eastAsia" w:ascii="宋体" w:hAnsi="宋体" w:cs="宋体"/>
          <w:sz w:val="24"/>
          <w:szCs w:val="24"/>
        </w:rPr>
      </w:pPr>
      <w:r>
        <w:rPr>
          <w:rFonts w:ascii="宋体" w:hAnsi="宋体" w:cs="宋体"/>
          <w:sz w:val="24"/>
          <w:szCs w:val="24"/>
        </w:rPr>
        <w:t>2、防寒</w:t>
      </w:r>
      <w:r>
        <w:rPr>
          <w:rFonts w:hint="eastAsia" w:ascii="宋体" w:hAnsi="宋体" w:cs="宋体"/>
          <w:sz w:val="24"/>
          <w:szCs w:val="24"/>
        </w:rPr>
        <w:t>包扎</w:t>
      </w:r>
      <w:r>
        <w:rPr>
          <w:rFonts w:ascii="宋体" w:hAnsi="宋体" w:cs="宋体"/>
          <w:sz w:val="24"/>
          <w:szCs w:val="24"/>
        </w:rPr>
        <w:t>:做好植物的防寒保暖工作。</w:t>
      </w:r>
    </w:p>
    <w:p>
      <w:pPr>
        <w:adjustRightInd w:val="0"/>
        <w:snapToGrid w:val="0"/>
        <w:spacing w:line="440" w:lineRule="exact"/>
        <w:ind w:left="420" w:leftChars="200"/>
        <w:rPr>
          <w:rFonts w:hint="eastAsia" w:ascii="宋体" w:hAnsi="宋体" w:cs="宋体"/>
          <w:sz w:val="24"/>
          <w:szCs w:val="24"/>
        </w:rPr>
      </w:pPr>
      <w:r>
        <w:rPr>
          <w:rFonts w:ascii="宋体" w:hAnsi="宋体" w:cs="宋体"/>
          <w:sz w:val="24"/>
          <w:szCs w:val="24"/>
        </w:rPr>
        <w:t>3、病虫害防治:主要是清除病虫害越冬代，人工捕捉虫巢和天牛。</w:t>
      </w:r>
    </w:p>
    <w:p>
      <w:pPr>
        <w:adjustRightInd w:val="0"/>
        <w:snapToGrid w:val="0"/>
        <w:spacing w:line="440" w:lineRule="exact"/>
        <w:ind w:left="420" w:leftChars="200"/>
        <w:rPr>
          <w:rFonts w:hint="eastAsia" w:ascii="宋体" w:hAnsi="宋体" w:cs="宋体"/>
          <w:b/>
          <w:sz w:val="24"/>
          <w:szCs w:val="24"/>
        </w:rPr>
      </w:pPr>
      <w:r>
        <w:rPr>
          <w:rFonts w:ascii="宋体" w:hAnsi="宋体" w:cs="宋体"/>
          <w:b/>
          <w:sz w:val="24"/>
          <w:szCs w:val="24"/>
        </w:rPr>
        <w:t>具体养护次数如下:</w:t>
      </w:r>
    </w:p>
    <w:tbl>
      <w:tblPr>
        <w:tblStyle w:val="50"/>
        <w:tblW w:w="9057" w:type="dxa"/>
        <w:jc w:val="center"/>
        <w:tblLayout w:type="fixed"/>
        <w:tblCellMar>
          <w:top w:w="0" w:type="dxa"/>
          <w:left w:w="108" w:type="dxa"/>
          <w:bottom w:w="0" w:type="dxa"/>
          <w:right w:w="108" w:type="dxa"/>
        </w:tblCellMar>
      </w:tblPr>
      <w:tblGrid>
        <w:gridCol w:w="860"/>
        <w:gridCol w:w="2142"/>
        <w:gridCol w:w="3491"/>
        <w:gridCol w:w="2564"/>
      </w:tblGrid>
      <w:tr>
        <w:tblPrEx>
          <w:tblCellMar>
            <w:top w:w="0" w:type="dxa"/>
            <w:left w:w="108" w:type="dxa"/>
            <w:bottom w:w="0" w:type="dxa"/>
            <w:right w:w="108" w:type="dxa"/>
          </w:tblCellMar>
        </w:tblPrEx>
        <w:trPr>
          <w:trHeight w:val="397" w:hRule="exac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textAlignment w:val="center"/>
              <w:rPr>
                <w:rFonts w:hint="eastAsia" w:ascii="宋体" w:hAnsi="宋体" w:cs="宋体"/>
                <w:color w:val="000000"/>
                <w:szCs w:val="21"/>
              </w:rPr>
            </w:pPr>
            <w:r>
              <w:rPr>
                <w:rFonts w:hint="eastAsia" w:ascii="宋体" w:hAnsi="宋体" w:cs="宋体"/>
                <w:color w:val="000000"/>
                <w:kern w:val="0"/>
                <w:szCs w:val="21"/>
              </w:rPr>
              <w:t>序号</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内容</w:t>
            </w:r>
          </w:p>
        </w:tc>
        <w:tc>
          <w:tcPr>
            <w:tcW w:w="349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szCs w:val="21"/>
              </w:rPr>
            </w:pPr>
            <w:r>
              <w:rPr>
                <w:rFonts w:hint="eastAsia" w:ascii="宋体" w:hAnsi="宋体" w:cs="宋体"/>
                <w:kern w:val="0"/>
                <w:szCs w:val="21"/>
              </w:rPr>
              <w:t>养护次数</w:t>
            </w:r>
          </w:p>
        </w:tc>
        <w:tc>
          <w:tcPr>
            <w:tcW w:w="25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397" w:hRule="exac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1</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树木修剪</w:t>
            </w:r>
          </w:p>
        </w:tc>
        <w:tc>
          <w:tcPr>
            <w:tcW w:w="349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每月不少于3次，合计约35次</w:t>
            </w:r>
          </w:p>
        </w:tc>
        <w:tc>
          <w:tcPr>
            <w:tcW w:w="25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含垃圾外运</w:t>
            </w:r>
          </w:p>
        </w:tc>
      </w:tr>
      <w:tr>
        <w:tblPrEx>
          <w:tblCellMar>
            <w:top w:w="0" w:type="dxa"/>
            <w:left w:w="108" w:type="dxa"/>
            <w:bottom w:w="0" w:type="dxa"/>
            <w:right w:w="108" w:type="dxa"/>
          </w:tblCellMar>
        </w:tblPrEx>
        <w:trPr>
          <w:trHeight w:val="397" w:hRule="exac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2</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绿篱绿球修剪</w:t>
            </w:r>
          </w:p>
        </w:tc>
        <w:tc>
          <w:tcPr>
            <w:tcW w:w="349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每月不少于3次，合计约35次</w:t>
            </w:r>
          </w:p>
        </w:tc>
        <w:tc>
          <w:tcPr>
            <w:tcW w:w="25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含垃圾外运</w:t>
            </w:r>
          </w:p>
        </w:tc>
      </w:tr>
      <w:tr>
        <w:tblPrEx>
          <w:tblCellMar>
            <w:top w:w="0" w:type="dxa"/>
            <w:left w:w="108" w:type="dxa"/>
            <w:bottom w:w="0" w:type="dxa"/>
            <w:right w:w="108" w:type="dxa"/>
          </w:tblCellMar>
        </w:tblPrEx>
        <w:trPr>
          <w:trHeight w:val="397" w:hRule="exac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3</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树木打药治虫</w:t>
            </w:r>
          </w:p>
        </w:tc>
        <w:tc>
          <w:tcPr>
            <w:tcW w:w="349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两个月一次，合计约6次</w:t>
            </w:r>
          </w:p>
        </w:tc>
        <w:tc>
          <w:tcPr>
            <w:tcW w:w="25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符合国家标准</w:t>
            </w:r>
          </w:p>
        </w:tc>
      </w:tr>
      <w:tr>
        <w:tblPrEx>
          <w:tblCellMar>
            <w:top w:w="0" w:type="dxa"/>
            <w:left w:w="108" w:type="dxa"/>
            <w:bottom w:w="0" w:type="dxa"/>
            <w:right w:w="108" w:type="dxa"/>
          </w:tblCellMar>
        </w:tblPrEx>
        <w:trPr>
          <w:trHeight w:val="397" w:hRule="exac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4</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杂草清除</w:t>
            </w:r>
          </w:p>
        </w:tc>
        <w:tc>
          <w:tcPr>
            <w:tcW w:w="349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每月不少于3次，合计约35次</w:t>
            </w:r>
          </w:p>
        </w:tc>
        <w:tc>
          <w:tcPr>
            <w:tcW w:w="25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含垃圾外运</w:t>
            </w:r>
          </w:p>
        </w:tc>
      </w:tr>
      <w:tr>
        <w:tblPrEx>
          <w:tblCellMar>
            <w:top w:w="0" w:type="dxa"/>
            <w:left w:w="108" w:type="dxa"/>
            <w:bottom w:w="0" w:type="dxa"/>
            <w:right w:w="108" w:type="dxa"/>
          </w:tblCellMar>
        </w:tblPrEx>
        <w:trPr>
          <w:trHeight w:val="397" w:hRule="exac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5</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造型树修剪</w:t>
            </w:r>
          </w:p>
        </w:tc>
        <w:tc>
          <w:tcPr>
            <w:tcW w:w="349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每月不少于2次，合计约25次</w:t>
            </w:r>
          </w:p>
        </w:tc>
        <w:tc>
          <w:tcPr>
            <w:tcW w:w="256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根据季节可适当调整</w:t>
            </w:r>
          </w:p>
        </w:tc>
      </w:tr>
      <w:tr>
        <w:tblPrEx>
          <w:tblCellMar>
            <w:top w:w="0" w:type="dxa"/>
            <w:left w:w="108" w:type="dxa"/>
            <w:bottom w:w="0" w:type="dxa"/>
            <w:right w:w="108" w:type="dxa"/>
          </w:tblCellMar>
        </w:tblPrEx>
        <w:trPr>
          <w:trHeight w:val="397" w:hRule="exac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6</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造型树浇水</w:t>
            </w:r>
          </w:p>
        </w:tc>
        <w:tc>
          <w:tcPr>
            <w:tcW w:w="349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每月不少于3次，合计约35次</w:t>
            </w:r>
          </w:p>
        </w:tc>
        <w:tc>
          <w:tcPr>
            <w:tcW w:w="256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根据季节可适当调整</w:t>
            </w:r>
          </w:p>
        </w:tc>
      </w:tr>
      <w:tr>
        <w:tblPrEx>
          <w:tblCellMar>
            <w:top w:w="0" w:type="dxa"/>
            <w:left w:w="108" w:type="dxa"/>
            <w:bottom w:w="0" w:type="dxa"/>
            <w:right w:w="108" w:type="dxa"/>
          </w:tblCellMar>
        </w:tblPrEx>
        <w:trPr>
          <w:trHeight w:val="397" w:hRule="exac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7</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造型树施肥</w:t>
            </w:r>
          </w:p>
        </w:tc>
        <w:tc>
          <w:tcPr>
            <w:tcW w:w="349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半年1次，合计约2次</w:t>
            </w:r>
          </w:p>
        </w:tc>
        <w:tc>
          <w:tcPr>
            <w:tcW w:w="25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含肥料</w:t>
            </w:r>
          </w:p>
        </w:tc>
      </w:tr>
      <w:tr>
        <w:tblPrEx>
          <w:tblCellMar>
            <w:top w:w="0" w:type="dxa"/>
            <w:left w:w="108" w:type="dxa"/>
            <w:bottom w:w="0" w:type="dxa"/>
            <w:right w:w="108" w:type="dxa"/>
          </w:tblCellMar>
        </w:tblPrEx>
        <w:trPr>
          <w:trHeight w:val="397" w:hRule="exac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8</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花灌木修剪</w:t>
            </w:r>
          </w:p>
        </w:tc>
        <w:tc>
          <w:tcPr>
            <w:tcW w:w="349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每月不少于3次，合计约35次</w:t>
            </w:r>
          </w:p>
        </w:tc>
        <w:tc>
          <w:tcPr>
            <w:tcW w:w="25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含垃圾外运</w:t>
            </w:r>
          </w:p>
        </w:tc>
      </w:tr>
      <w:tr>
        <w:tblPrEx>
          <w:tblCellMar>
            <w:top w:w="0" w:type="dxa"/>
            <w:left w:w="108" w:type="dxa"/>
            <w:bottom w:w="0" w:type="dxa"/>
            <w:right w:w="108" w:type="dxa"/>
          </w:tblCellMar>
        </w:tblPrEx>
        <w:trPr>
          <w:trHeight w:val="397" w:hRule="exact"/>
          <w:jc w:val="center"/>
        </w:trPr>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9</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竹类芭蕉修剪</w:t>
            </w:r>
          </w:p>
        </w:tc>
        <w:tc>
          <w:tcPr>
            <w:tcW w:w="349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rPr>
              <w:t>两个月一次，合计约6次</w:t>
            </w:r>
          </w:p>
        </w:tc>
        <w:tc>
          <w:tcPr>
            <w:tcW w:w="2564"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kern w:val="0"/>
                <w:szCs w:val="21"/>
              </w:rPr>
              <w:t>含垃圾外运</w:t>
            </w:r>
          </w:p>
        </w:tc>
      </w:tr>
    </w:tbl>
    <w:p>
      <w:pPr>
        <w:adjustRightInd w:val="0"/>
        <w:snapToGrid w:val="0"/>
        <w:spacing w:line="460" w:lineRule="exact"/>
        <w:ind w:firstLine="482" w:firstLineChars="200"/>
        <w:rPr>
          <w:rFonts w:hint="eastAsia" w:ascii="宋体" w:hAnsi="宋体"/>
          <w:b/>
          <w:bCs/>
          <w:sz w:val="24"/>
          <w:szCs w:val="24"/>
        </w:rPr>
      </w:pPr>
      <w:r>
        <w:rPr>
          <w:rFonts w:hint="eastAsia" w:ascii="宋体" w:hAnsi="宋体"/>
          <w:b/>
          <w:bCs/>
          <w:sz w:val="24"/>
          <w:szCs w:val="24"/>
        </w:rPr>
        <w:t>7、绿化养护管理考核办法</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7.1考核方式</w:t>
      </w:r>
    </w:p>
    <w:p>
      <w:pPr>
        <w:adjustRightInd w:val="0"/>
        <w:snapToGrid w:val="0"/>
        <w:spacing w:line="460" w:lineRule="exact"/>
        <w:ind w:left="482"/>
        <w:rPr>
          <w:rFonts w:hint="eastAsia" w:ascii="宋体" w:hAnsi="宋体" w:cs="宋体"/>
          <w:sz w:val="24"/>
          <w:szCs w:val="24"/>
        </w:rPr>
      </w:pPr>
      <w:r>
        <w:rPr>
          <w:rFonts w:hint="eastAsia" w:ascii="宋体" w:hAnsi="宋体" w:cs="宋体"/>
          <w:sz w:val="24"/>
          <w:szCs w:val="24"/>
        </w:rPr>
        <w:t>考核每月组织一次，由阵地管理部安排人员按照《现场绿化养护管理考核评分标准》（详见附件1）内容进行考核。</w:t>
      </w:r>
    </w:p>
    <w:p>
      <w:pPr>
        <w:adjustRightInd w:val="0"/>
        <w:snapToGrid w:val="0"/>
        <w:spacing w:line="460" w:lineRule="exact"/>
        <w:ind w:firstLine="482" w:firstLineChars="200"/>
        <w:rPr>
          <w:rFonts w:hint="eastAsia" w:ascii="宋体" w:hAnsi="宋体" w:cs="宋体"/>
          <w:b/>
          <w:sz w:val="24"/>
          <w:szCs w:val="24"/>
        </w:rPr>
      </w:pPr>
      <w:r>
        <w:rPr>
          <w:rFonts w:hint="eastAsia" w:ascii="宋体" w:hAnsi="宋体" w:cs="宋体"/>
          <w:b/>
          <w:sz w:val="24"/>
          <w:szCs w:val="24"/>
        </w:rPr>
        <w:t>8、绿植租摆内容</w:t>
      </w:r>
    </w:p>
    <w:p>
      <w:pPr>
        <w:adjustRightInd w:val="0"/>
        <w:snapToGrid w:val="0"/>
        <w:spacing w:line="460" w:lineRule="exact"/>
        <w:ind w:firstLine="482" w:firstLineChars="200"/>
        <w:rPr>
          <w:rFonts w:hint="eastAsia" w:ascii="宋体" w:hAnsi="宋体" w:cs="宋体"/>
          <w:b/>
          <w:sz w:val="24"/>
          <w:szCs w:val="24"/>
        </w:rPr>
      </w:pPr>
      <w:r>
        <w:rPr>
          <w:rFonts w:hint="eastAsia" w:ascii="宋体" w:hAnsi="宋体" w:cs="宋体"/>
          <w:b/>
          <w:sz w:val="24"/>
          <w:szCs w:val="24"/>
        </w:rPr>
        <w:t>8.1、品种、规格</w:t>
      </w:r>
    </w:p>
    <w:p>
      <w:pPr>
        <w:pStyle w:val="111"/>
        <w:numPr>
          <w:ilvl w:val="0"/>
          <w:numId w:val="7"/>
        </w:numPr>
        <w:adjustRightInd w:val="0"/>
        <w:snapToGrid w:val="0"/>
        <w:spacing w:line="460" w:lineRule="exact"/>
        <w:ind w:left="0" w:firstLine="482"/>
        <w:jc w:val="left"/>
        <w:rPr>
          <w:rFonts w:hint="eastAsia" w:ascii="宋体" w:hAnsi="宋体" w:cs="仿宋"/>
          <w:bCs/>
          <w:kern w:val="0"/>
        </w:rPr>
      </w:pPr>
      <w:r>
        <w:rPr>
          <w:rFonts w:hint="eastAsia" w:ascii="宋体" w:hAnsi="宋体" w:cs="仿宋"/>
          <w:b/>
          <w:kern w:val="0"/>
        </w:rPr>
        <w:t>特大型</w:t>
      </w:r>
      <w:r>
        <w:rPr>
          <w:rFonts w:hint="eastAsia" w:ascii="宋体" w:hAnsi="宋体" w:cs="仿宋"/>
          <w:bCs/>
          <w:kern w:val="0"/>
        </w:rPr>
        <w:t xml:space="preserve">  </w:t>
      </w:r>
    </w:p>
    <w:p>
      <w:pPr>
        <w:pStyle w:val="111"/>
        <w:adjustRightInd w:val="0"/>
        <w:snapToGrid w:val="0"/>
        <w:spacing w:line="460" w:lineRule="exact"/>
        <w:ind w:firstLine="480"/>
        <w:jc w:val="left"/>
        <w:rPr>
          <w:rFonts w:hint="eastAsia" w:ascii="宋体" w:hAnsi="宋体" w:cs="仿宋"/>
          <w:bCs/>
          <w:kern w:val="0"/>
        </w:rPr>
      </w:pPr>
      <w:r>
        <w:rPr>
          <w:rFonts w:hint="eastAsia" w:ascii="宋体" w:hAnsi="宋体" w:cs="仿宋"/>
          <w:bCs/>
          <w:kern w:val="0"/>
        </w:rPr>
        <w:t>规格：高度大于2.00米</w:t>
      </w:r>
    </w:p>
    <w:p>
      <w:pPr>
        <w:adjustRightInd w:val="0"/>
        <w:snapToGrid w:val="0"/>
        <w:spacing w:line="460" w:lineRule="exact"/>
        <w:ind w:firstLine="480" w:firstLineChars="200"/>
        <w:jc w:val="left"/>
        <w:rPr>
          <w:rFonts w:hint="eastAsia" w:ascii="宋体" w:hAnsi="宋体" w:cs="仿宋"/>
          <w:bCs/>
          <w:kern w:val="0"/>
          <w:sz w:val="24"/>
          <w:szCs w:val="24"/>
        </w:rPr>
      </w:pPr>
      <w:r>
        <w:rPr>
          <w:rFonts w:hint="eastAsia" w:ascii="宋体" w:hAnsi="宋体" w:cs="仿宋"/>
          <w:bCs/>
          <w:kern w:val="0"/>
          <w:sz w:val="24"/>
          <w:szCs w:val="24"/>
        </w:rPr>
        <w:t>品种：铁树、棕竹、摇钱树、幸福树、榕树等</w:t>
      </w:r>
    </w:p>
    <w:p>
      <w:pPr>
        <w:adjustRightInd w:val="0"/>
        <w:snapToGrid w:val="0"/>
        <w:spacing w:line="460" w:lineRule="exact"/>
        <w:ind w:firstLine="482" w:firstLineChars="200"/>
        <w:jc w:val="left"/>
        <w:rPr>
          <w:rFonts w:hint="eastAsia" w:ascii="宋体" w:hAnsi="宋体" w:cs="仿宋"/>
          <w:bCs/>
          <w:kern w:val="0"/>
          <w:sz w:val="24"/>
          <w:szCs w:val="24"/>
        </w:rPr>
      </w:pPr>
      <w:r>
        <w:rPr>
          <w:rFonts w:hint="eastAsia" w:ascii="宋体" w:hAnsi="宋体" w:cs="仿宋"/>
          <w:b/>
          <w:kern w:val="0"/>
          <w:sz w:val="24"/>
          <w:szCs w:val="24"/>
        </w:rPr>
        <w:t>⑵大  型</w:t>
      </w:r>
      <w:r>
        <w:rPr>
          <w:rFonts w:hint="eastAsia" w:ascii="宋体" w:hAnsi="宋体" w:cs="仿宋"/>
          <w:bCs/>
          <w:kern w:val="0"/>
          <w:sz w:val="24"/>
          <w:szCs w:val="24"/>
        </w:rPr>
        <w:t xml:space="preserve">  </w:t>
      </w:r>
    </w:p>
    <w:p>
      <w:pPr>
        <w:adjustRightInd w:val="0"/>
        <w:snapToGrid w:val="0"/>
        <w:spacing w:line="460" w:lineRule="exact"/>
        <w:ind w:firstLine="480" w:firstLineChars="200"/>
        <w:jc w:val="left"/>
        <w:rPr>
          <w:rFonts w:hint="eastAsia" w:ascii="宋体" w:hAnsi="宋体" w:cs="仿宋"/>
          <w:bCs/>
          <w:kern w:val="0"/>
          <w:sz w:val="24"/>
          <w:szCs w:val="24"/>
        </w:rPr>
      </w:pPr>
      <w:r>
        <w:rPr>
          <w:rFonts w:hint="eastAsia" w:ascii="宋体" w:hAnsi="宋体" w:cs="仿宋"/>
          <w:bCs/>
          <w:kern w:val="0"/>
          <w:sz w:val="24"/>
          <w:szCs w:val="24"/>
        </w:rPr>
        <w:t>规格：高度在1.50米至2.00米之间</w:t>
      </w:r>
    </w:p>
    <w:p>
      <w:pPr>
        <w:adjustRightInd w:val="0"/>
        <w:snapToGrid w:val="0"/>
        <w:spacing w:line="460" w:lineRule="exact"/>
        <w:ind w:firstLine="480" w:firstLineChars="200"/>
        <w:jc w:val="left"/>
        <w:rPr>
          <w:rFonts w:hint="eastAsia" w:ascii="宋体" w:hAnsi="宋体" w:cs="仿宋"/>
          <w:bCs/>
          <w:kern w:val="0"/>
          <w:sz w:val="24"/>
          <w:szCs w:val="24"/>
        </w:rPr>
      </w:pPr>
      <w:r>
        <w:rPr>
          <w:rFonts w:hint="eastAsia" w:ascii="宋体" w:hAnsi="宋体" w:cs="仿宋"/>
          <w:bCs/>
          <w:kern w:val="0"/>
          <w:sz w:val="24"/>
          <w:szCs w:val="24"/>
        </w:rPr>
        <w:t>品种：棕竹、幸福树、龙须木、散尾葵、鸭脚木、绿萝等</w:t>
      </w:r>
    </w:p>
    <w:p>
      <w:pPr>
        <w:adjustRightInd w:val="0"/>
        <w:snapToGrid w:val="0"/>
        <w:spacing w:line="460" w:lineRule="exact"/>
        <w:ind w:firstLine="482" w:firstLineChars="200"/>
        <w:jc w:val="left"/>
        <w:rPr>
          <w:rFonts w:hint="eastAsia" w:ascii="宋体" w:hAnsi="宋体" w:cs="仿宋"/>
          <w:bCs/>
          <w:kern w:val="0"/>
          <w:sz w:val="24"/>
          <w:szCs w:val="24"/>
        </w:rPr>
      </w:pPr>
      <w:r>
        <w:rPr>
          <w:rFonts w:hint="eastAsia" w:ascii="宋体" w:hAnsi="宋体" w:cs="仿宋"/>
          <w:b/>
          <w:kern w:val="0"/>
          <w:sz w:val="24"/>
          <w:szCs w:val="24"/>
        </w:rPr>
        <w:t xml:space="preserve">⑶中  型 </w:t>
      </w:r>
      <w:r>
        <w:rPr>
          <w:rFonts w:hint="eastAsia" w:ascii="宋体" w:hAnsi="宋体" w:cs="仿宋"/>
          <w:bCs/>
          <w:kern w:val="0"/>
          <w:sz w:val="24"/>
          <w:szCs w:val="24"/>
        </w:rPr>
        <w:t xml:space="preserve"> </w:t>
      </w:r>
    </w:p>
    <w:p>
      <w:pPr>
        <w:adjustRightInd w:val="0"/>
        <w:snapToGrid w:val="0"/>
        <w:spacing w:line="460" w:lineRule="exact"/>
        <w:ind w:firstLine="480" w:firstLineChars="200"/>
        <w:jc w:val="left"/>
        <w:rPr>
          <w:rFonts w:hint="eastAsia" w:ascii="宋体" w:hAnsi="宋体" w:cs="仿宋"/>
          <w:bCs/>
          <w:kern w:val="0"/>
          <w:sz w:val="24"/>
          <w:szCs w:val="24"/>
        </w:rPr>
      </w:pPr>
      <w:r>
        <w:rPr>
          <w:rFonts w:hint="eastAsia" w:ascii="宋体" w:hAnsi="宋体" w:cs="仿宋"/>
          <w:bCs/>
          <w:kern w:val="0"/>
          <w:sz w:val="24"/>
          <w:szCs w:val="24"/>
        </w:rPr>
        <w:t>规格：高度在0.80米至1.50米之间</w:t>
      </w:r>
    </w:p>
    <w:p>
      <w:pPr>
        <w:adjustRightInd w:val="0"/>
        <w:snapToGrid w:val="0"/>
        <w:spacing w:line="460" w:lineRule="exact"/>
        <w:ind w:firstLine="480" w:firstLineChars="200"/>
        <w:jc w:val="left"/>
        <w:rPr>
          <w:rFonts w:hint="eastAsia" w:ascii="宋体" w:hAnsi="宋体" w:cs="仿宋"/>
          <w:bCs/>
          <w:kern w:val="0"/>
          <w:sz w:val="24"/>
          <w:szCs w:val="24"/>
        </w:rPr>
      </w:pPr>
      <w:r>
        <w:rPr>
          <w:rFonts w:hint="eastAsia" w:ascii="宋体" w:hAnsi="宋体" w:cs="仿宋"/>
          <w:bCs/>
          <w:kern w:val="0"/>
          <w:sz w:val="24"/>
          <w:szCs w:val="24"/>
        </w:rPr>
        <w:t>品种：棕竹、幸福树、龙须木、螺丝铁等</w:t>
      </w:r>
    </w:p>
    <w:p>
      <w:pPr>
        <w:adjustRightInd w:val="0"/>
        <w:snapToGrid w:val="0"/>
        <w:spacing w:line="460" w:lineRule="exact"/>
        <w:ind w:firstLine="482" w:firstLineChars="200"/>
        <w:jc w:val="left"/>
        <w:rPr>
          <w:rFonts w:hint="eastAsia" w:ascii="宋体" w:hAnsi="宋体" w:cs="仿宋"/>
          <w:bCs/>
          <w:kern w:val="0"/>
          <w:sz w:val="24"/>
          <w:szCs w:val="24"/>
        </w:rPr>
      </w:pPr>
      <w:r>
        <w:rPr>
          <w:rFonts w:hint="eastAsia" w:ascii="宋体" w:hAnsi="宋体" w:cs="仿宋"/>
          <w:b/>
          <w:kern w:val="0"/>
          <w:sz w:val="24"/>
          <w:szCs w:val="24"/>
        </w:rPr>
        <w:t>⑷小  型</w:t>
      </w:r>
      <w:r>
        <w:rPr>
          <w:rFonts w:hint="eastAsia" w:ascii="宋体" w:hAnsi="宋体" w:cs="仿宋"/>
          <w:bCs/>
          <w:kern w:val="0"/>
          <w:sz w:val="24"/>
          <w:szCs w:val="24"/>
        </w:rPr>
        <w:t xml:space="preserve">  </w:t>
      </w:r>
    </w:p>
    <w:p>
      <w:pPr>
        <w:adjustRightInd w:val="0"/>
        <w:snapToGrid w:val="0"/>
        <w:spacing w:line="460" w:lineRule="exact"/>
        <w:ind w:firstLine="480" w:firstLineChars="200"/>
        <w:jc w:val="left"/>
        <w:rPr>
          <w:rFonts w:hint="eastAsia" w:ascii="宋体" w:hAnsi="宋体" w:cs="仿宋"/>
          <w:bCs/>
          <w:kern w:val="0"/>
          <w:sz w:val="24"/>
          <w:szCs w:val="24"/>
        </w:rPr>
      </w:pPr>
      <w:r>
        <w:rPr>
          <w:rFonts w:hint="eastAsia" w:ascii="宋体" w:hAnsi="宋体" w:cs="仿宋"/>
          <w:bCs/>
          <w:kern w:val="0"/>
          <w:sz w:val="24"/>
          <w:szCs w:val="24"/>
        </w:rPr>
        <w:t>规格：高度0.50米以下</w:t>
      </w:r>
    </w:p>
    <w:p>
      <w:pPr>
        <w:adjustRightInd w:val="0"/>
        <w:snapToGrid w:val="0"/>
        <w:spacing w:line="460" w:lineRule="exact"/>
        <w:ind w:firstLine="480" w:firstLineChars="200"/>
        <w:jc w:val="left"/>
        <w:rPr>
          <w:rFonts w:hint="eastAsia" w:ascii="宋体" w:hAnsi="宋体" w:cs="仿宋"/>
          <w:bCs/>
          <w:kern w:val="0"/>
          <w:sz w:val="24"/>
          <w:szCs w:val="24"/>
        </w:rPr>
      </w:pPr>
      <w:r>
        <w:rPr>
          <w:rFonts w:hint="eastAsia" w:ascii="宋体" w:hAnsi="宋体" w:cs="仿宋"/>
          <w:bCs/>
          <w:kern w:val="0"/>
          <w:sz w:val="24"/>
          <w:szCs w:val="24"/>
        </w:rPr>
        <w:t>品种：吊绿萝、银皇后、小椰子、银边铁、孔雀竹芋、一帆风顺等</w:t>
      </w:r>
    </w:p>
    <w:p>
      <w:pPr>
        <w:adjustRightInd w:val="0"/>
        <w:snapToGrid w:val="0"/>
        <w:spacing w:line="460" w:lineRule="exact"/>
        <w:ind w:firstLine="482" w:firstLineChars="200"/>
        <w:jc w:val="left"/>
        <w:rPr>
          <w:rFonts w:hint="eastAsia" w:ascii="宋体" w:hAnsi="宋体" w:cs="仿宋"/>
          <w:b/>
          <w:kern w:val="0"/>
          <w:sz w:val="24"/>
          <w:szCs w:val="24"/>
        </w:rPr>
      </w:pPr>
      <w:r>
        <w:rPr>
          <w:rFonts w:hint="eastAsia" w:ascii="宋体" w:hAnsi="宋体" w:cs="仿宋"/>
          <w:b/>
          <w:kern w:val="0"/>
          <w:sz w:val="24"/>
          <w:szCs w:val="24"/>
        </w:rPr>
        <w:t>(5)特大型组合盆栽</w:t>
      </w:r>
    </w:p>
    <w:p>
      <w:pPr>
        <w:adjustRightInd w:val="0"/>
        <w:snapToGrid w:val="0"/>
        <w:spacing w:line="460" w:lineRule="exact"/>
        <w:ind w:firstLine="480" w:firstLineChars="200"/>
        <w:jc w:val="left"/>
        <w:rPr>
          <w:rFonts w:hint="eastAsia" w:ascii="宋体" w:hAnsi="宋体" w:cs="仿宋"/>
          <w:bCs/>
          <w:kern w:val="0"/>
          <w:sz w:val="24"/>
          <w:szCs w:val="24"/>
        </w:rPr>
      </w:pPr>
      <w:r>
        <w:rPr>
          <w:rFonts w:hint="eastAsia" w:ascii="宋体" w:hAnsi="宋体" w:cs="仿宋"/>
          <w:bCs/>
          <w:kern w:val="0"/>
          <w:sz w:val="24"/>
          <w:szCs w:val="24"/>
        </w:rPr>
        <w:t>主要为铁树、榕树、罗汉松等；</w:t>
      </w:r>
    </w:p>
    <w:p>
      <w:pPr>
        <w:adjustRightInd w:val="0"/>
        <w:snapToGrid w:val="0"/>
        <w:spacing w:line="460" w:lineRule="exact"/>
        <w:ind w:firstLine="480" w:firstLineChars="200"/>
        <w:jc w:val="left"/>
        <w:rPr>
          <w:rFonts w:hint="eastAsia" w:ascii="宋体" w:hAnsi="宋体" w:cs="仿宋"/>
          <w:bCs/>
          <w:kern w:val="0"/>
          <w:sz w:val="24"/>
          <w:szCs w:val="24"/>
        </w:rPr>
      </w:pPr>
      <w:r>
        <w:rPr>
          <w:rFonts w:hint="eastAsia" w:ascii="宋体" w:hAnsi="宋体" w:cs="仿宋"/>
          <w:bCs/>
          <w:kern w:val="0"/>
          <w:sz w:val="24"/>
          <w:szCs w:val="24"/>
        </w:rPr>
        <w:t>下部配合：茶花、茶梅、杜鹃、海棠、红掌、凤梨、常春藤、吊绿萝等花卉及观叶植物</w:t>
      </w:r>
    </w:p>
    <w:p>
      <w:pPr>
        <w:adjustRightInd w:val="0"/>
        <w:snapToGrid w:val="0"/>
        <w:spacing w:line="460" w:lineRule="exact"/>
        <w:ind w:firstLine="482" w:firstLineChars="200"/>
        <w:jc w:val="left"/>
        <w:rPr>
          <w:rFonts w:hint="eastAsia" w:ascii="宋体" w:hAnsi="宋体" w:cs="仿宋"/>
          <w:bCs/>
          <w:kern w:val="0"/>
          <w:sz w:val="24"/>
          <w:szCs w:val="24"/>
        </w:rPr>
      </w:pPr>
      <w:r>
        <w:rPr>
          <w:rFonts w:hint="eastAsia" w:ascii="宋体" w:hAnsi="宋体" w:cs="仿宋"/>
          <w:b/>
          <w:kern w:val="0"/>
          <w:sz w:val="24"/>
          <w:szCs w:val="24"/>
        </w:rPr>
        <w:t>(6)大盆花卉</w:t>
      </w:r>
      <w:r>
        <w:rPr>
          <w:rFonts w:hint="eastAsia" w:ascii="宋体" w:hAnsi="宋体" w:cs="仿宋"/>
          <w:bCs/>
          <w:kern w:val="0"/>
          <w:sz w:val="24"/>
          <w:szCs w:val="24"/>
        </w:rPr>
        <w:t xml:space="preserve"> </w:t>
      </w:r>
    </w:p>
    <w:p>
      <w:pPr>
        <w:adjustRightInd w:val="0"/>
        <w:snapToGrid w:val="0"/>
        <w:spacing w:line="460" w:lineRule="exact"/>
        <w:ind w:firstLine="480" w:firstLineChars="200"/>
        <w:jc w:val="left"/>
        <w:rPr>
          <w:rFonts w:hint="eastAsia" w:ascii="宋体" w:hAnsi="宋体" w:cs="仿宋"/>
          <w:bCs/>
          <w:kern w:val="0"/>
          <w:sz w:val="24"/>
          <w:szCs w:val="24"/>
        </w:rPr>
      </w:pPr>
      <w:r>
        <w:rPr>
          <w:rFonts w:hint="eastAsia" w:ascii="宋体" w:hAnsi="宋体" w:cs="仿宋"/>
          <w:bCs/>
          <w:kern w:val="0"/>
          <w:sz w:val="24"/>
          <w:szCs w:val="24"/>
        </w:rPr>
        <w:t>规格：直径80mm以上（供室外摆放造型，严寒酷暑、恶劣天气情况除外）</w:t>
      </w:r>
    </w:p>
    <w:p>
      <w:pPr>
        <w:adjustRightInd w:val="0"/>
        <w:snapToGrid w:val="0"/>
        <w:spacing w:line="460" w:lineRule="exact"/>
        <w:ind w:firstLine="480" w:firstLineChars="200"/>
        <w:jc w:val="left"/>
        <w:rPr>
          <w:rFonts w:hint="eastAsia" w:ascii="宋体" w:hAnsi="宋体" w:cs="仿宋"/>
          <w:bCs/>
          <w:kern w:val="0"/>
          <w:sz w:val="24"/>
          <w:szCs w:val="24"/>
        </w:rPr>
      </w:pPr>
      <w:r>
        <w:rPr>
          <w:rFonts w:hint="eastAsia" w:ascii="宋体" w:hAnsi="宋体" w:cs="仿宋"/>
          <w:bCs/>
          <w:kern w:val="0"/>
          <w:sz w:val="24"/>
          <w:szCs w:val="24"/>
        </w:rPr>
        <w:t>品种：茶花、茶梅、杜鹃、彩叶草、五色梅、绣球等</w:t>
      </w:r>
    </w:p>
    <w:p>
      <w:pPr>
        <w:adjustRightInd w:val="0"/>
        <w:snapToGrid w:val="0"/>
        <w:spacing w:line="460" w:lineRule="exact"/>
        <w:ind w:firstLine="482" w:firstLineChars="200"/>
        <w:jc w:val="left"/>
        <w:rPr>
          <w:rFonts w:hint="eastAsia" w:ascii="宋体" w:hAnsi="宋体" w:cs="仿宋"/>
          <w:bCs/>
          <w:kern w:val="0"/>
          <w:sz w:val="24"/>
          <w:szCs w:val="24"/>
        </w:rPr>
      </w:pPr>
      <w:r>
        <w:rPr>
          <w:rFonts w:hint="eastAsia" w:ascii="宋体" w:hAnsi="宋体" w:cs="仿宋"/>
          <w:b/>
          <w:kern w:val="0"/>
          <w:sz w:val="24"/>
          <w:szCs w:val="24"/>
        </w:rPr>
        <w:t>(7)小盆花卉</w:t>
      </w:r>
    </w:p>
    <w:p>
      <w:pPr>
        <w:adjustRightInd w:val="0"/>
        <w:snapToGrid w:val="0"/>
        <w:spacing w:line="460" w:lineRule="exact"/>
        <w:ind w:firstLine="480" w:firstLineChars="200"/>
        <w:jc w:val="left"/>
        <w:rPr>
          <w:rFonts w:hint="eastAsia" w:ascii="宋体" w:hAnsi="宋体" w:cs="仿宋"/>
          <w:bCs/>
          <w:kern w:val="0"/>
          <w:sz w:val="24"/>
          <w:szCs w:val="24"/>
        </w:rPr>
      </w:pPr>
      <w:r>
        <w:rPr>
          <w:rFonts w:hint="eastAsia" w:ascii="宋体" w:hAnsi="宋体" w:cs="仿宋"/>
          <w:bCs/>
          <w:kern w:val="0"/>
          <w:sz w:val="24"/>
          <w:szCs w:val="24"/>
        </w:rPr>
        <w:t>规格：直径20-30cm（供室外摆放造型，严寒酷暑、恶劣天气情况除外）</w:t>
      </w:r>
    </w:p>
    <w:p>
      <w:pPr>
        <w:adjustRightInd w:val="0"/>
        <w:snapToGrid w:val="0"/>
        <w:spacing w:line="460" w:lineRule="exact"/>
        <w:ind w:firstLine="480" w:firstLineChars="200"/>
        <w:jc w:val="left"/>
        <w:rPr>
          <w:rFonts w:hint="eastAsia" w:ascii="宋体" w:hAnsi="宋体" w:cs="仿宋"/>
          <w:bCs/>
          <w:kern w:val="0"/>
          <w:sz w:val="24"/>
          <w:szCs w:val="24"/>
        </w:rPr>
      </w:pPr>
      <w:r>
        <w:rPr>
          <w:rFonts w:hint="eastAsia" w:ascii="宋体" w:hAnsi="宋体" w:cs="仿宋"/>
          <w:bCs/>
          <w:kern w:val="0"/>
          <w:sz w:val="24"/>
          <w:szCs w:val="24"/>
        </w:rPr>
        <w:t>品种：红掌、凤梨、杜鹃、龙船花、海棠、一串红、孔雀草、彩雀花、凤仙等</w:t>
      </w:r>
    </w:p>
    <w:p>
      <w:pPr>
        <w:adjustRightInd w:val="0"/>
        <w:snapToGrid w:val="0"/>
        <w:spacing w:line="460" w:lineRule="exact"/>
        <w:ind w:firstLine="482" w:firstLineChars="200"/>
        <w:rPr>
          <w:rFonts w:hint="eastAsia" w:ascii="宋体" w:hAnsi="宋体" w:cs="宋体"/>
          <w:b/>
          <w:sz w:val="24"/>
          <w:szCs w:val="24"/>
        </w:rPr>
      </w:pPr>
      <w:r>
        <w:rPr>
          <w:rFonts w:hint="eastAsia" w:ascii="宋体" w:hAnsi="宋体" w:cs="宋体"/>
          <w:b/>
          <w:sz w:val="24"/>
          <w:szCs w:val="24"/>
        </w:rPr>
        <w:t>8.2、绿植租摆定位表</w:t>
      </w:r>
    </w:p>
    <w:tbl>
      <w:tblPr>
        <w:tblStyle w:val="50"/>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340"/>
        <w:gridCol w:w="1847"/>
        <w:gridCol w:w="95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2017" w:type="dxa"/>
            <w:vAlign w:val="center"/>
          </w:tcPr>
          <w:p>
            <w:pPr>
              <w:tabs>
                <w:tab w:val="left" w:pos="6120"/>
              </w:tabs>
              <w:spacing w:line="500" w:lineRule="exact"/>
              <w:jc w:val="center"/>
              <w:rPr>
                <w:rFonts w:hint="eastAsia" w:cs="仿宋" w:asciiTheme="majorEastAsia" w:hAnsiTheme="majorEastAsia" w:eastAsiaTheme="majorEastAsia"/>
                <w:b/>
                <w:szCs w:val="21"/>
              </w:rPr>
            </w:pPr>
            <w:r>
              <w:rPr>
                <w:rFonts w:hint="eastAsia" w:cs="仿宋" w:asciiTheme="majorEastAsia" w:hAnsiTheme="majorEastAsia" w:eastAsiaTheme="majorEastAsia"/>
                <w:b/>
                <w:szCs w:val="21"/>
              </w:rPr>
              <w:t>位 置</w:t>
            </w:r>
          </w:p>
        </w:tc>
        <w:tc>
          <w:tcPr>
            <w:tcW w:w="2340" w:type="dxa"/>
            <w:vAlign w:val="center"/>
          </w:tcPr>
          <w:p>
            <w:pPr>
              <w:tabs>
                <w:tab w:val="left" w:pos="6120"/>
              </w:tabs>
              <w:spacing w:line="500" w:lineRule="exact"/>
              <w:jc w:val="center"/>
              <w:rPr>
                <w:rFonts w:hint="eastAsia" w:cs="仿宋" w:asciiTheme="majorEastAsia" w:hAnsiTheme="majorEastAsia" w:eastAsiaTheme="majorEastAsia"/>
                <w:b/>
                <w:szCs w:val="21"/>
              </w:rPr>
            </w:pPr>
            <w:r>
              <w:rPr>
                <w:rFonts w:hint="eastAsia" w:cs="仿宋" w:asciiTheme="majorEastAsia" w:hAnsiTheme="majorEastAsia" w:eastAsiaTheme="majorEastAsia"/>
                <w:b/>
                <w:szCs w:val="21"/>
              </w:rPr>
              <w:t>摆放地点</w:t>
            </w:r>
          </w:p>
        </w:tc>
        <w:tc>
          <w:tcPr>
            <w:tcW w:w="1847" w:type="dxa"/>
            <w:vAlign w:val="center"/>
          </w:tcPr>
          <w:p>
            <w:pPr>
              <w:tabs>
                <w:tab w:val="left" w:pos="6120"/>
              </w:tabs>
              <w:spacing w:line="500" w:lineRule="exact"/>
              <w:jc w:val="center"/>
              <w:rPr>
                <w:rFonts w:hint="eastAsia" w:cs="仿宋" w:asciiTheme="majorEastAsia" w:hAnsiTheme="majorEastAsia" w:eastAsiaTheme="majorEastAsia"/>
                <w:b/>
                <w:szCs w:val="21"/>
              </w:rPr>
            </w:pPr>
            <w:r>
              <w:rPr>
                <w:rFonts w:hint="eastAsia" w:cs="仿宋" w:asciiTheme="majorEastAsia" w:hAnsiTheme="majorEastAsia" w:eastAsiaTheme="majorEastAsia"/>
                <w:b/>
                <w:spacing w:val="-20"/>
                <w:szCs w:val="21"/>
              </w:rPr>
              <w:t>规  格</w:t>
            </w:r>
          </w:p>
        </w:tc>
        <w:tc>
          <w:tcPr>
            <w:tcW w:w="954" w:type="dxa"/>
            <w:vAlign w:val="center"/>
          </w:tcPr>
          <w:p>
            <w:pPr>
              <w:tabs>
                <w:tab w:val="left" w:pos="6120"/>
              </w:tabs>
              <w:spacing w:line="500" w:lineRule="exact"/>
              <w:jc w:val="center"/>
              <w:rPr>
                <w:rFonts w:hint="eastAsia" w:cs="仿宋" w:asciiTheme="majorEastAsia" w:hAnsiTheme="majorEastAsia" w:eastAsiaTheme="majorEastAsia"/>
                <w:b/>
                <w:szCs w:val="21"/>
              </w:rPr>
            </w:pPr>
            <w:r>
              <w:rPr>
                <w:rFonts w:hint="eastAsia" w:cs="仿宋" w:asciiTheme="majorEastAsia" w:hAnsiTheme="majorEastAsia" w:eastAsiaTheme="majorEastAsia"/>
                <w:b/>
                <w:szCs w:val="21"/>
              </w:rPr>
              <w:t>数 量</w:t>
            </w:r>
          </w:p>
        </w:tc>
        <w:tc>
          <w:tcPr>
            <w:tcW w:w="1711" w:type="dxa"/>
            <w:vAlign w:val="center"/>
          </w:tcPr>
          <w:p>
            <w:pPr>
              <w:tabs>
                <w:tab w:val="left" w:pos="6120"/>
              </w:tabs>
              <w:spacing w:line="500" w:lineRule="exact"/>
              <w:jc w:val="center"/>
              <w:rPr>
                <w:rFonts w:hint="eastAsia" w:cs="仿宋" w:asciiTheme="majorEastAsia" w:hAnsiTheme="majorEastAsia" w:eastAsiaTheme="majorEastAsia"/>
                <w:b/>
                <w:szCs w:val="21"/>
              </w:rPr>
            </w:pPr>
            <w:r>
              <w:rPr>
                <w:rFonts w:hint="eastAsia" w:cs="仿宋" w:asciiTheme="majorEastAsia" w:hAnsiTheme="majorEastAsia" w:eastAsiaTheme="majorEastAsia"/>
                <w:b/>
                <w:szCs w:val="21"/>
              </w:rPr>
              <w:t>租摆期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400" w:lineRule="exact"/>
              <w:jc w:val="left"/>
              <w:rPr>
                <w:rFonts w:hint="eastAsia" w:cs="仿宋" w:asciiTheme="majorEastAsia" w:hAnsiTheme="majorEastAsia" w:eastAsiaTheme="majorEastAsia"/>
                <w:szCs w:val="21"/>
              </w:rPr>
            </w:pPr>
            <w:r>
              <w:rPr>
                <w:rFonts w:hint="eastAsia" w:cs="仿宋" w:asciiTheme="majorEastAsia" w:hAnsiTheme="majorEastAsia" w:eastAsiaTheme="majorEastAsia"/>
                <w:szCs w:val="21"/>
              </w:rPr>
              <w:t>近代馆总序厅门口、当代馆门口、室外钢琴屏北侧</w:t>
            </w:r>
          </w:p>
        </w:tc>
        <w:tc>
          <w:tcPr>
            <w:tcW w:w="2340" w:type="dxa"/>
            <w:vMerge w:val="restart"/>
            <w:vAlign w:val="center"/>
          </w:tcPr>
          <w:p>
            <w:pPr>
              <w:tabs>
                <w:tab w:val="left" w:pos="6120"/>
              </w:tabs>
              <w:spacing w:line="400" w:lineRule="exact"/>
              <w:jc w:val="left"/>
              <w:rPr>
                <w:rFonts w:hint="eastAsia" w:cs="仿宋" w:asciiTheme="majorEastAsia" w:hAnsiTheme="majorEastAsia" w:eastAsiaTheme="majorEastAsia"/>
                <w:szCs w:val="21"/>
              </w:rPr>
            </w:pPr>
            <w:r>
              <w:rPr>
                <w:rFonts w:hint="eastAsia" w:cs="仿宋" w:asciiTheme="majorEastAsia" w:hAnsiTheme="majorEastAsia" w:eastAsiaTheme="majorEastAsia"/>
                <w:szCs w:val="21"/>
              </w:rPr>
              <w:t>近代馆总序厅门口、当代馆门口、室外钢琴屏北侧</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特大型组合盆栽</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6</w:t>
            </w:r>
          </w:p>
        </w:tc>
        <w:tc>
          <w:tcPr>
            <w:tcW w:w="1711" w:type="dxa"/>
            <w:vMerge w:val="restart"/>
            <w:vAlign w:val="center"/>
          </w:tcPr>
          <w:p>
            <w:pPr>
              <w:tabs>
                <w:tab w:val="left" w:pos="6120"/>
              </w:tabs>
              <w:spacing w:line="400" w:lineRule="exact"/>
              <w:jc w:val="center"/>
              <w:rPr>
                <w:rFonts w:hint="eastAsia" w:cs="仿宋" w:asciiTheme="majorEastAsia" w:hAnsiTheme="majorEastAsia" w:eastAsiaTheme="majorEastAsia"/>
                <w:b/>
                <w:szCs w:val="21"/>
              </w:rPr>
            </w:pPr>
            <w:r>
              <w:rPr>
                <w:rFonts w:hint="eastAsia" w:cs="仿宋" w:asciiTheme="majorEastAsia" w:hAnsiTheme="majorEastAsia" w:eastAsiaTheme="majorEastAsia"/>
                <w:bCs/>
                <w:snapToGrid w:val="0"/>
                <w:kern w:val="0"/>
                <w:szCs w:val="21"/>
                <w:lang w:val="zh-CN" w:bidi="zh-CN"/>
              </w:rPr>
              <w:t>春节、五一、国庆</w:t>
            </w:r>
            <w:r>
              <w:rPr>
                <w:rFonts w:hint="eastAsia" w:cs="仿宋" w:asciiTheme="majorEastAsia" w:hAnsiTheme="majorEastAsia" w:eastAsiaTheme="majorEastAsia"/>
                <w:szCs w:val="21"/>
              </w:rPr>
              <w:t>三个法定节日各一周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b/>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b/>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30</w:t>
            </w:r>
          </w:p>
        </w:tc>
        <w:tc>
          <w:tcPr>
            <w:tcW w:w="1711"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b/>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b/>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大盆花卉</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30</w:t>
            </w:r>
          </w:p>
        </w:tc>
        <w:tc>
          <w:tcPr>
            <w:tcW w:w="1711"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b/>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b/>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小盆花卉</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400</w:t>
            </w:r>
          </w:p>
        </w:tc>
        <w:tc>
          <w:tcPr>
            <w:tcW w:w="1711"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伶工学社</w:t>
            </w:r>
          </w:p>
        </w:tc>
        <w:tc>
          <w:tcPr>
            <w:tcW w:w="2340" w:type="dxa"/>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大盆花卉</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1711"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b/>
                <w:szCs w:val="21"/>
              </w:rPr>
            </w:pPr>
            <w:r>
              <w:rPr>
                <w:rFonts w:hint="eastAsia" w:cs="仿宋" w:asciiTheme="majorEastAsia" w:hAnsiTheme="majorEastAsia" w:eastAsiaTheme="majorEastAsia"/>
                <w:szCs w:val="21"/>
              </w:rPr>
              <w:t>古代馆一楼</w:t>
            </w:r>
          </w:p>
        </w:tc>
        <w:tc>
          <w:tcPr>
            <w:tcW w:w="2340"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门厅</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3</w:t>
            </w:r>
          </w:p>
        </w:tc>
        <w:tc>
          <w:tcPr>
            <w:tcW w:w="1711"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b/>
                <w:szCs w:val="21"/>
              </w:rPr>
            </w:pPr>
          </w:p>
        </w:tc>
        <w:tc>
          <w:tcPr>
            <w:tcW w:w="2340"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各展厅</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5</w:t>
            </w:r>
          </w:p>
        </w:tc>
        <w:tc>
          <w:tcPr>
            <w:tcW w:w="1711" w:type="dxa"/>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b/>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b/>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18</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古代馆二楼</w:t>
            </w:r>
          </w:p>
        </w:tc>
        <w:tc>
          <w:tcPr>
            <w:tcW w:w="2340"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各展厅</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5</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20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近代馆一楼</w:t>
            </w:r>
          </w:p>
        </w:tc>
        <w:tc>
          <w:tcPr>
            <w:tcW w:w="2340"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门厅</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特大型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各展厅</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20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小型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60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近代馆二楼</w:t>
            </w:r>
          </w:p>
        </w:tc>
        <w:tc>
          <w:tcPr>
            <w:tcW w:w="2340"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各展厅</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20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15</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小型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城南别业</w:t>
            </w:r>
          </w:p>
        </w:tc>
        <w:tc>
          <w:tcPr>
            <w:tcW w:w="2340"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西出入口</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一楼、二楼走廊</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20</w:t>
            </w:r>
          </w:p>
        </w:tc>
        <w:tc>
          <w:tcPr>
            <w:tcW w:w="1711" w:type="dxa"/>
            <w:vAlign w:val="center"/>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当代馆一楼</w:t>
            </w:r>
          </w:p>
        </w:tc>
        <w:tc>
          <w:tcPr>
            <w:tcW w:w="2340"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门厅</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特大型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各展厅</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6</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70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小型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当代馆二楼</w:t>
            </w:r>
          </w:p>
        </w:tc>
        <w:tc>
          <w:tcPr>
            <w:tcW w:w="2340"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各展厅</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6</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70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小型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当代馆三楼</w:t>
            </w:r>
          </w:p>
        </w:tc>
        <w:tc>
          <w:tcPr>
            <w:tcW w:w="2340"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东侧各展厅</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3</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70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小型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中间休息区</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西侧各展厅</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3</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80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2340" w:type="dxa"/>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小型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357" w:type="dxa"/>
            <w:gridSpan w:val="2"/>
            <w:vAlign w:val="center"/>
          </w:tcPr>
          <w:p>
            <w:pPr>
              <w:tabs>
                <w:tab w:val="left" w:pos="6120"/>
              </w:tabs>
              <w:spacing w:line="500" w:lineRule="exact"/>
              <w:rPr>
                <w:rFonts w:hint="eastAsia" w:cs="仿宋" w:asciiTheme="majorEastAsia" w:hAnsiTheme="majorEastAsia" w:eastAsiaTheme="majorEastAsia"/>
                <w:szCs w:val="21"/>
              </w:rPr>
            </w:pPr>
            <w:r>
              <w:rPr>
                <w:rFonts w:hint="eastAsia" w:cs="仿宋" w:asciiTheme="majorEastAsia" w:hAnsiTheme="majorEastAsia" w:eastAsiaTheme="majorEastAsia"/>
                <w:szCs w:val="21"/>
              </w:rPr>
              <w:t>当代馆四楼</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357" w:type="dxa"/>
            <w:gridSpan w:val="2"/>
            <w:vMerge w:val="restart"/>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合计</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150小型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110</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357" w:type="dxa"/>
            <w:gridSpan w:val="2"/>
            <w:vMerge w:val="continue"/>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150</w:t>
            </w: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376中型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385</w:t>
            </w:r>
          </w:p>
          <w:p>
            <w:pPr>
              <w:tabs>
                <w:tab w:val="left" w:pos="6120"/>
              </w:tabs>
              <w:spacing w:line="500" w:lineRule="exact"/>
              <w:jc w:val="center"/>
              <w:rPr>
                <w:rFonts w:hint="eastAsia" w:cs="仿宋" w:asciiTheme="majorEastAsia" w:hAnsiTheme="majorEastAsia" w:eastAsiaTheme="majorEastAsia"/>
                <w:szCs w:val="21"/>
              </w:rPr>
            </w:pP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357" w:type="dxa"/>
            <w:gridSpan w:val="2"/>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69大型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73</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357" w:type="dxa"/>
            <w:gridSpan w:val="2"/>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特大型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4</w:t>
            </w:r>
          </w:p>
        </w:tc>
        <w:tc>
          <w:tcPr>
            <w:tcW w:w="1711" w:type="dxa"/>
          </w:tcPr>
          <w:p>
            <w:pPr>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357" w:type="dxa"/>
            <w:gridSpan w:val="2"/>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特大型组合盆栽</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6</w:t>
            </w:r>
          </w:p>
        </w:tc>
        <w:tc>
          <w:tcPr>
            <w:tcW w:w="1711"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节日用花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357" w:type="dxa"/>
            <w:gridSpan w:val="2"/>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中型</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30</w:t>
            </w:r>
          </w:p>
        </w:tc>
        <w:tc>
          <w:tcPr>
            <w:tcW w:w="1711"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节日用花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357" w:type="dxa"/>
            <w:gridSpan w:val="2"/>
            <w:vMerge w:val="continue"/>
            <w:vAlign w:val="center"/>
          </w:tcPr>
          <w:p>
            <w:pPr>
              <w:tabs>
                <w:tab w:val="left" w:pos="6120"/>
              </w:tabs>
              <w:spacing w:line="500" w:lineRule="exact"/>
              <w:jc w:val="center"/>
              <w:rPr>
                <w:rFonts w:hint="eastAsia" w:cs="仿宋" w:asciiTheme="majorEastAsia" w:hAnsiTheme="majorEastAsia" w:eastAsiaTheme="majorEastAsia"/>
                <w:szCs w:val="21"/>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大盆花卉</w:t>
            </w:r>
          </w:p>
        </w:tc>
        <w:tc>
          <w:tcPr>
            <w:tcW w:w="954"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40</w:t>
            </w:r>
          </w:p>
        </w:tc>
        <w:tc>
          <w:tcPr>
            <w:tcW w:w="1711" w:type="dxa"/>
            <w:vAlign w:val="center"/>
          </w:tcPr>
          <w:p>
            <w:pPr>
              <w:tabs>
                <w:tab w:val="left" w:pos="6120"/>
              </w:tabs>
              <w:spacing w:line="50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节日用花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357" w:type="dxa"/>
            <w:gridSpan w:val="2"/>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847"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90小盆花卉</w:t>
            </w:r>
          </w:p>
        </w:tc>
        <w:tc>
          <w:tcPr>
            <w:tcW w:w="954"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400</w:t>
            </w:r>
          </w:p>
        </w:tc>
        <w:tc>
          <w:tcPr>
            <w:tcW w:w="1711" w:type="dxa"/>
            <w:vAlign w:val="center"/>
          </w:tcPr>
          <w:p>
            <w:pPr>
              <w:tabs>
                <w:tab w:val="left" w:pos="6120"/>
              </w:tabs>
              <w:spacing w:line="500" w:lineRule="exact"/>
              <w:jc w:val="center"/>
              <w:rPr>
                <w:rFonts w:hint="eastAsia" w:cs="仿宋" w:asciiTheme="majorEastAsia" w:hAnsiTheme="majorEastAsia" w:eastAsiaTheme="majorEastAsia"/>
                <w:spacing w:val="-20"/>
                <w:szCs w:val="21"/>
              </w:rPr>
            </w:pPr>
            <w:r>
              <w:rPr>
                <w:rFonts w:hint="eastAsia" w:cs="仿宋" w:asciiTheme="majorEastAsia" w:hAnsiTheme="majorEastAsia" w:eastAsiaTheme="majorEastAsia"/>
                <w:spacing w:val="-20"/>
                <w:szCs w:val="21"/>
              </w:rPr>
              <w:t>节日用花</w:t>
            </w:r>
          </w:p>
        </w:tc>
      </w:tr>
    </w:tbl>
    <w:p>
      <w:pPr>
        <w:adjustRightInd w:val="0"/>
        <w:snapToGrid w:val="0"/>
        <w:spacing w:line="460" w:lineRule="exact"/>
        <w:ind w:firstLine="482" w:firstLineChars="200"/>
        <w:rPr>
          <w:rFonts w:hint="eastAsia" w:cs="仿宋" w:asciiTheme="majorEastAsia" w:hAnsiTheme="majorEastAsia" w:eastAsiaTheme="majorEastAsia"/>
          <w:b/>
          <w:bCs/>
          <w:kern w:val="0"/>
          <w:sz w:val="24"/>
          <w:szCs w:val="24"/>
        </w:rPr>
      </w:pPr>
      <w:r>
        <w:rPr>
          <w:rFonts w:hint="eastAsia" w:cs="仿宋" w:asciiTheme="majorEastAsia" w:hAnsiTheme="majorEastAsia" w:eastAsiaTheme="majorEastAsia"/>
          <w:b/>
          <w:bCs/>
          <w:kern w:val="0"/>
          <w:sz w:val="24"/>
          <w:szCs w:val="24"/>
        </w:rPr>
        <w:t>8.3绿植租摆养护及更换标准</w:t>
      </w:r>
    </w:p>
    <w:p>
      <w:pPr>
        <w:adjustRightInd w:val="0"/>
        <w:snapToGrid w:val="0"/>
        <w:spacing w:line="460" w:lineRule="exact"/>
        <w:ind w:firstLine="480" w:firstLineChars="200"/>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（1）由中标方专业人员负责定期对植物进行现场养护，根据摆放植物的特征定期进行浇水、施肥、培育、修剪及病虫害防治，做到无病虫害、叶面无尘土、无枯枝、无黄叶。</w:t>
      </w:r>
    </w:p>
    <w:p>
      <w:pPr>
        <w:adjustRightInd w:val="0"/>
        <w:snapToGrid w:val="0"/>
        <w:spacing w:line="460" w:lineRule="exact"/>
        <w:ind w:firstLine="480" w:firstLineChars="200"/>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（2）摆放植物生长状况良好，枝叶繁茂、形态饱满。对长势不良、枯萎、失去观赏价值的植物及时进行更换。</w:t>
      </w:r>
    </w:p>
    <w:p>
      <w:pPr>
        <w:adjustRightInd w:val="0"/>
        <w:snapToGrid w:val="0"/>
        <w:spacing w:line="460" w:lineRule="exact"/>
        <w:ind w:firstLine="480" w:firstLineChars="200"/>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（3）花盆外侧四周无泥土，垫盆无积水。</w:t>
      </w:r>
    </w:p>
    <w:p>
      <w:pPr>
        <w:adjustRightInd w:val="0"/>
        <w:snapToGrid w:val="0"/>
        <w:spacing w:line="460" w:lineRule="exact"/>
        <w:ind w:firstLine="480" w:firstLineChars="200"/>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（4）植物的更换根据季节的变化，选择的品种也会有所变化，但中标方更换的植物品种必须经招标方同意后方可更换。</w:t>
      </w:r>
    </w:p>
    <w:p>
      <w:pPr>
        <w:adjustRightInd w:val="0"/>
        <w:snapToGrid w:val="0"/>
        <w:spacing w:line="460" w:lineRule="exact"/>
        <w:ind w:firstLine="480" w:firstLineChars="200"/>
        <w:rPr>
          <w:rFonts w:hint="eastAsia"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（5）植物上无尘土。</w:t>
      </w:r>
    </w:p>
    <w:p>
      <w:pPr>
        <w:pStyle w:val="111"/>
        <w:numPr>
          <w:ilvl w:val="0"/>
          <w:numId w:val="8"/>
        </w:numPr>
        <w:adjustRightInd w:val="0"/>
        <w:snapToGrid w:val="0"/>
        <w:spacing w:line="460" w:lineRule="exact"/>
        <w:ind w:firstLineChars="0"/>
        <w:rPr>
          <w:rFonts w:hint="eastAsia" w:cs="仿宋" w:asciiTheme="majorEastAsia" w:hAnsiTheme="majorEastAsia" w:eastAsiaTheme="majorEastAsia"/>
          <w:kern w:val="0"/>
        </w:rPr>
      </w:pPr>
      <w:r>
        <w:rPr>
          <w:rFonts w:hint="eastAsia" w:cs="仿宋" w:asciiTheme="majorEastAsia" w:hAnsiTheme="majorEastAsia" w:eastAsiaTheme="majorEastAsia"/>
          <w:kern w:val="0"/>
        </w:rPr>
        <w:t>做到每周至少上门服务2次，保证植物生长良好。</w:t>
      </w:r>
    </w:p>
    <w:p>
      <w:pPr>
        <w:pStyle w:val="111"/>
        <w:numPr>
          <w:ilvl w:val="0"/>
          <w:numId w:val="8"/>
        </w:numPr>
        <w:adjustRightInd w:val="0"/>
        <w:snapToGrid w:val="0"/>
        <w:spacing w:line="460" w:lineRule="exact"/>
        <w:ind w:firstLineChars="0"/>
        <w:rPr>
          <w:rFonts w:hint="eastAsia" w:cs="仿宋" w:asciiTheme="majorEastAsia" w:hAnsiTheme="majorEastAsia" w:eastAsiaTheme="majorEastAsia"/>
          <w:kern w:val="0"/>
        </w:rPr>
      </w:pPr>
      <w:r>
        <w:rPr>
          <w:rFonts w:hint="eastAsia" w:cs="仿宋" w:asciiTheme="majorEastAsia" w:hAnsiTheme="majorEastAsia" w:eastAsiaTheme="majorEastAsia"/>
          <w:kern w:val="0"/>
        </w:rPr>
        <w:t>租摆植物如出现发黄、枯萎等现象，应当日立即更换。</w:t>
      </w:r>
    </w:p>
    <w:p>
      <w:pPr>
        <w:adjustRightInd w:val="0"/>
        <w:snapToGrid w:val="0"/>
        <w:spacing w:line="460" w:lineRule="exact"/>
        <w:ind w:firstLine="482" w:firstLineChars="200"/>
        <w:rPr>
          <w:rFonts w:hint="eastAsia" w:cs="宋体" w:asciiTheme="majorEastAsia" w:hAnsiTheme="majorEastAsia" w:eastAsiaTheme="majorEastAsia"/>
          <w:b/>
          <w:sz w:val="24"/>
          <w:szCs w:val="24"/>
        </w:rPr>
      </w:pPr>
      <w:r>
        <w:rPr>
          <w:rFonts w:hint="eastAsia" w:cs="宋体" w:asciiTheme="majorEastAsia" w:hAnsiTheme="majorEastAsia" w:eastAsiaTheme="majorEastAsia"/>
          <w:b/>
          <w:sz w:val="24"/>
          <w:szCs w:val="24"/>
        </w:rPr>
        <w:t>9、绿植</w:t>
      </w:r>
      <w:r>
        <w:rPr>
          <w:rFonts w:hint="eastAsia" w:cs="宋体" w:asciiTheme="majorEastAsia" w:hAnsiTheme="majorEastAsia" w:eastAsiaTheme="majorEastAsia"/>
          <w:b/>
          <w:sz w:val="24"/>
        </w:rPr>
        <w:t>租摆</w:t>
      </w:r>
      <w:r>
        <w:rPr>
          <w:rFonts w:hint="eastAsia" w:cs="宋体" w:asciiTheme="majorEastAsia" w:hAnsiTheme="majorEastAsia" w:eastAsiaTheme="majorEastAsia"/>
          <w:b/>
          <w:sz w:val="24"/>
          <w:szCs w:val="24"/>
        </w:rPr>
        <w:t>期限：</w:t>
      </w:r>
      <w:r>
        <w:rPr>
          <w:rFonts w:hint="eastAsia" w:ascii="宋体" w:hAnsi="宋体" w:cs="宋体" w:eastAsiaTheme="majorEastAsia"/>
          <w:sz w:val="24"/>
          <w:szCs w:val="24"/>
        </w:rPr>
        <w:t>9</w:t>
      </w:r>
      <w:r>
        <w:rPr>
          <w:rFonts w:hint="eastAsia" w:ascii="宋体" w:hAnsi="宋体" w:cs="宋体"/>
          <w:sz w:val="24"/>
          <w:szCs w:val="24"/>
        </w:rPr>
        <w:t>个月（2024年10月1日-2025年6月30日）</w:t>
      </w:r>
    </w:p>
    <w:p>
      <w:pPr>
        <w:adjustRightInd w:val="0"/>
        <w:snapToGrid w:val="0"/>
        <w:spacing w:line="460" w:lineRule="exact"/>
        <w:ind w:firstLine="482" w:firstLineChars="200"/>
        <w:rPr>
          <w:rFonts w:hint="eastAsia" w:asciiTheme="majorEastAsia" w:hAnsiTheme="majorEastAsia" w:eastAsiaTheme="majorEastAsia"/>
          <w:b/>
          <w:sz w:val="24"/>
          <w:szCs w:val="24"/>
        </w:rPr>
      </w:pPr>
      <w:r>
        <w:rPr>
          <w:rFonts w:hint="eastAsia" w:cs="宋体" w:asciiTheme="majorEastAsia" w:hAnsiTheme="majorEastAsia" w:eastAsiaTheme="majorEastAsia"/>
          <w:b/>
          <w:sz w:val="24"/>
          <w:szCs w:val="24"/>
        </w:rPr>
        <w:t>10、</w:t>
      </w:r>
      <w:r>
        <w:rPr>
          <w:rFonts w:cs="宋体" w:asciiTheme="majorEastAsia" w:hAnsiTheme="majorEastAsia" w:eastAsiaTheme="majorEastAsia"/>
          <w:b/>
          <w:sz w:val="24"/>
          <w:szCs w:val="24"/>
        </w:rPr>
        <w:t>价款及支付:</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rPr>
        <w:t>10</w:t>
      </w:r>
      <w:r>
        <w:rPr>
          <w:rFonts w:ascii="宋体" w:hAnsi="宋体" w:cs="宋体"/>
          <w:sz w:val="24"/>
        </w:rPr>
        <w:t>.1</w:t>
      </w:r>
      <w:r>
        <w:rPr>
          <w:rFonts w:hint="eastAsia" w:ascii="宋体" w:hAnsi="宋体" w:cs="宋体"/>
          <w:sz w:val="24"/>
          <w:szCs w:val="24"/>
        </w:rPr>
        <w:t>本项目绿化养护部分采用固定总价，该部分费用为成交供应商的首轮报价明细中的养护部分总价*（最终总报价/首轮总报价）；绿植租摆部分采用固定单价，成交供应商的综合单价不变，租摆的数量按实结算。同时，成交供应商的成交价在合同实施期间不因市场变化因素、肥料用量等各种情况而变动。</w:t>
      </w:r>
    </w:p>
    <w:p>
      <w:pPr>
        <w:adjustRightInd w:val="0"/>
        <w:snapToGrid w:val="0"/>
        <w:spacing w:line="460" w:lineRule="exact"/>
        <w:ind w:firstLine="480" w:firstLineChars="200"/>
        <w:rPr>
          <w:rFonts w:ascii="宋体"/>
          <w:b/>
          <w:bCs/>
          <w:sz w:val="24"/>
          <w:szCs w:val="24"/>
        </w:rPr>
      </w:pPr>
      <w:r>
        <w:rPr>
          <w:rFonts w:hint="eastAsia" w:ascii="宋体" w:hAnsi="宋体" w:cs="宋体"/>
          <w:sz w:val="24"/>
          <w:szCs w:val="24"/>
        </w:rPr>
        <w:t>特别说明：（1）此处的综合单价为全费用综合单价，包括但不限于绿植租摆的材料、花盆、托盘、包装物、进场及撤场运输、辅材、租赁费、布置摆放、养护、人工费、器械费、企业利润、税款，本项目招标代理费等。（2）此处的综合单价为成交供应商的首轮报价明细中的单价*（最终总报价/首轮总报价）。</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10.2</w:t>
      </w:r>
      <w:r>
        <w:rPr>
          <w:rFonts w:hint="eastAsia" w:ascii="宋体" w:hAnsi="宋体" w:cs="宋体"/>
          <w:sz w:val="24"/>
        </w:rPr>
        <w:t>合同价格暂按此次成交价格执行，合同总金额为人民币</w:t>
      </w:r>
      <w:r>
        <w:rPr>
          <w:rFonts w:ascii="宋体" w:hAnsi="宋体" w:cs="宋体"/>
          <w:sz w:val="24"/>
          <w:u w:val="single"/>
        </w:rPr>
        <w:t xml:space="preserve">           </w:t>
      </w:r>
      <w:r>
        <w:rPr>
          <w:rFonts w:hint="eastAsia" w:ascii="宋体" w:hAnsi="宋体" w:cs="宋体"/>
          <w:sz w:val="24"/>
        </w:rPr>
        <w:t>，</w:t>
      </w:r>
      <w:r>
        <w:rPr>
          <w:rFonts w:hint="eastAsia" w:ascii="宋体" w:hAnsi="宋体" w:cs="宋体"/>
          <w:color w:val="000000"/>
          <w:sz w:val="24"/>
          <w:szCs w:val="24"/>
        </w:rPr>
        <w:t>包含但不限于绿化</w:t>
      </w:r>
      <w:r>
        <w:rPr>
          <w:rFonts w:hint="eastAsia" w:ascii="宋体" w:hAnsi="宋体" w:cs="宋体"/>
          <w:sz w:val="24"/>
          <w:szCs w:val="24"/>
        </w:rPr>
        <w:t>养护的工具、材料（如遮阳网、防寒包扎用草帘草包、肥料、农药、油等）、设备、设施（如喷水、修剪、锄草、治虫、登高、高空作业车等必要机械）、草籽、草花；绿植租摆的材料、花盆、托盘、包装物、进场及撤场运输、辅材、租赁费、布置摆放、养护，以及本项目的劳务支出、安全保险、劳保福利、住宿、器械损耗、税收、管理费、社会保险、合同履行过程中可能发生的风险及所需的全部费用以及本项目代理服务费。</w:t>
      </w:r>
    </w:p>
    <w:p>
      <w:pPr>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3付款方式：</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rPr>
        <w:t>10.3.</w:t>
      </w:r>
      <w:r>
        <w:rPr>
          <w:rFonts w:hint="eastAsia" w:ascii="宋体" w:hAnsi="宋体" w:cs="宋体"/>
          <w:sz w:val="24"/>
          <w:szCs w:val="24"/>
        </w:rPr>
        <w:t>1、绿化养护费用：合同签订，绿化养护服务一月后，结合当月考核情况，支付绿化养护成交价的30%；合同签订半年后，结合半年绿化养护考核情况，支付绿化养护成交价的20%；合同完成，综合绿化养护考核情况，支付剩余绿化养护费用。（绿化养护考核要求：以每月绿化养护管理考核为依据，考评分在85分（含85分）以上的全额支付相应的绿化养护费用，考评分在85分（不含85分）以下的,每少一分扣除相应绿化养护费用200元。)</w:t>
      </w:r>
    </w:p>
    <w:p>
      <w:pPr>
        <w:adjustRightInd w:val="0"/>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10.3.2、植物租摆费用：合同签订，第一次植物租摆按要求放置到位并验收合格后，支付植物租摆成交价的30%；合同签订半年后，植物租摆到位并养护更换合格，支付植物租摆成交价的20%；合同完成，支付剩余植物租摆费用。</w:t>
      </w:r>
    </w:p>
    <w:p>
      <w:pPr>
        <w:adjustRightInd w:val="0"/>
        <w:snapToGrid w:val="0"/>
        <w:spacing w:line="460" w:lineRule="exact"/>
        <w:ind w:firstLine="573"/>
        <w:rPr>
          <w:rFonts w:hint="eastAsia" w:ascii="宋体" w:hAnsi="宋体" w:cs="宋体"/>
          <w:bCs/>
          <w:sz w:val="24"/>
          <w:szCs w:val="24"/>
        </w:rPr>
      </w:pPr>
      <w:r>
        <w:rPr>
          <w:rFonts w:hint="eastAsia" w:ascii="宋体" w:hAnsi="宋体" w:cs="宋体"/>
          <w:bCs/>
          <w:sz w:val="24"/>
          <w:szCs w:val="24"/>
        </w:rPr>
        <w:t>款项由采购单位按相关财务支付规定办理支付手续。付款时供货商需提供正规发票。以上付款均不计利息。</w:t>
      </w:r>
    </w:p>
    <w:p>
      <w:pPr>
        <w:adjustRightInd w:val="0"/>
        <w:snapToGrid w:val="0"/>
        <w:spacing w:line="460" w:lineRule="exact"/>
        <w:ind w:firstLine="573"/>
        <w:rPr>
          <w:rFonts w:asci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4</w:t>
      </w:r>
      <w:r>
        <w:rPr>
          <w:rFonts w:ascii="宋体" w:hAnsi="宋体" w:cs="宋体"/>
          <w:sz w:val="24"/>
        </w:rPr>
        <w:t xml:space="preserve"> </w:t>
      </w:r>
      <w:r>
        <w:rPr>
          <w:rFonts w:hint="eastAsia" w:ascii="宋体" w:hAnsi="宋体" w:cs="宋体"/>
          <w:sz w:val="24"/>
        </w:rPr>
        <w:t>根据现行税法对甲方征收的与本合同有关的一切税费均由甲方承担；根据现行税法对乙方征收的与本合同有关的一切税费均由乙方承担。</w:t>
      </w:r>
    </w:p>
    <w:p>
      <w:pPr>
        <w:adjustRightInd w:val="0"/>
        <w:snapToGrid w:val="0"/>
        <w:spacing w:line="460" w:lineRule="exact"/>
        <w:ind w:firstLine="573"/>
        <w:rPr>
          <w:rFonts w:hint="eastAsia"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5支付（结算）方式：由甲方通知乙方提交相关发票并办理支付手续，甲方在各项手续、票据齐全的情况下完成对外支付。</w:t>
      </w:r>
    </w:p>
    <w:p>
      <w:pPr>
        <w:widowControl/>
        <w:adjustRightInd w:val="0"/>
        <w:snapToGrid w:val="0"/>
        <w:spacing w:line="460" w:lineRule="exact"/>
        <w:ind w:firstLine="420"/>
        <w:rPr>
          <w:rFonts w:hint="eastAsia" w:ascii="宋体" w:hAnsi="宋体" w:cs="宋体"/>
          <w:b/>
          <w:bCs/>
          <w:color w:val="000000"/>
          <w:sz w:val="24"/>
          <w:szCs w:val="24"/>
        </w:rPr>
      </w:pPr>
      <w:r>
        <w:rPr>
          <w:rFonts w:hint="eastAsia" w:ascii="宋体" w:hAnsi="宋体" w:cs="宋体"/>
          <w:b/>
          <w:bCs/>
          <w:color w:val="000000"/>
          <w:sz w:val="24"/>
          <w:szCs w:val="24"/>
        </w:rPr>
        <w:t>11、安全施工：</w:t>
      </w:r>
    </w:p>
    <w:p>
      <w:pPr>
        <w:widowControl/>
        <w:adjustRightInd w:val="0"/>
        <w:snapToGrid w:val="0"/>
        <w:spacing w:line="460" w:lineRule="exact"/>
        <w:ind w:firstLine="420"/>
        <w:rPr>
          <w:rFonts w:hint="eastAsia" w:ascii="宋体" w:hAnsi="宋体" w:cs="宋体"/>
          <w:color w:val="000000"/>
          <w:sz w:val="24"/>
          <w:szCs w:val="24"/>
        </w:rPr>
      </w:pPr>
      <w:r>
        <w:rPr>
          <w:rFonts w:hint="eastAsia" w:ascii="宋体" w:hAnsi="宋体" w:cs="宋体"/>
          <w:color w:val="000000"/>
          <w:sz w:val="24"/>
          <w:szCs w:val="24"/>
        </w:rPr>
        <w:t>乙方应遵守安全生产有关管理规定，严格按安全标准组织施工，并随时接受行业安全监督检查，采取必要的安全措施，消除事故隐患。乙方应为在甲方现场施工人员及时购买人身保险等相关保险，签订本合同时乙方须提供上述保险凭证。在本项目实施过程中发生的疾病、 工伤、重大伤亡等安全事故，由乙方负责并承担一切赔偿责任。</w:t>
      </w:r>
    </w:p>
    <w:p>
      <w:pPr>
        <w:widowControl/>
        <w:adjustRightInd w:val="0"/>
        <w:snapToGrid w:val="0"/>
        <w:spacing w:line="460" w:lineRule="exact"/>
        <w:ind w:firstLine="420"/>
        <w:rPr>
          <w:rFonts w:hint="eastAsia" w:ascii="宋体" w:hAnsi="宋体" w:cs="宋体"/>
          <w:b/>
          <w:bCs/>
          <w:color w:val="000000"/>
          <w:sz w:val="24"/>
          <w:szCs w:val="24"/>
        </w:rPr>
      </w:pPr>
      <w:r>
        <w:rPr>
          <w:rFonts w:hint="eastAsia" w:ascii="宋体" w:hAnsi="宋体" w:cs="宋体"/>
          <w:b/>
          <w:bCs/>
          <w:color w:val="000000"/>
          <w:sz w:val="24"/>
          <w:szCs w:val="24"/>
        </w:rPr>
        <w:t>12、违约责任：</w:t>
      </w:r>
    </w:p>
    <w:p>
      <w:pPr>
        <w:widowControl/>
        <w:adjustRightInd w:val="0"/>
        <w:snapToGrid w:val="0"/>
        <w:spacing w:line="460" w:lineRule="exact"/>
        <w:ind w:firstLine="420"/>
        <w:rPr>
          <w:rFonts w:hint="eastAsia" w:ascii="宋体" w:hAnsi="宋体" w:cs="宋体"/>
          <w:color w:val="000000"/>
          <w:sz w:val="24"/>
          <w:szCs w:val="24"/>
        </w:rPr>
      </w:pPr>
      <w:r>
        <w:rPr>
          <w:rFonts w:hint="eastAsia" w:ascii="宋体" w:hAnsi="宋体" w:cs="宋体"/>
          <w:color w:val="000000"/>
          <w:sz w:val="24"/>
          <w:szCs w:val="24"/>
        </w:rPr>
        <w:t>12.1若乙方违反本协议规定，则甲方有权单方终止本协议，并拒绝支付协议款项，乙方需另行向甲方支付本协议第10.2款规定协议总价款30％的违约金。</w:t>
      </w:r>
    </w:p>
    <w:p>
      <w:pPr>
        <w:widowControl/>
        <w:adjustRightInd w:val="0"/>
        <w:snapToGrid w:val="0"/>
        <w:spacing w:line="460" w:lineRule="exact"/>
        <w:ind w:firstLine="420"/>
        <w:rPr>
          <w:rFonts w:hint="eastAsia" w:ascii="宋体" w:hAnsi="宋体" w:cs="宋体"/>
          <w:color w:val="000000"/>
          <w:sz w:val="24"/>
          <w:szCs w:val="24"/>
        </w:rPr>
      </w:pPr>
      <w:r>
        <w:rPr>
          <w:rFonts w:hint="eastAsia" w:ascii="宋体" w:hAnsi="宋体" w:cs="宋体"/>
          <w:color w:val="000000"/>
          <w:sz w:val="24"/>
          <w:szCs w:val="24"/>
        </w:rPr>
        <w:t>12.2乙方必须节约用水，不得浪费；必须使用完好、无破损、不漏水的浇灌水管；浇灌过程中除正常浇灌用水其他不得有漏水之处。</w:t>
      </w:r>
    </w:p>
    <w:p>
      <w:pPr>
        <w:widowControl/>
        <w:adjustRightInd w:val="0"/>
        <w:snapToGrid w:val="0"/>
        <w:spacing w:line="460" w:lineRule="exact"/>
        <w:ind w:firstLine="420"/>
        <w:rPr>
          <w:rFonts w:hint="eastAsia" w:ascii="宋体" w:hAnsi="宋体" w:cs="宋体"/>
          <w:color w:val="000000"/>
          <w:sz w:val="24"/>
          <w:szCs w:val="24"/>
        </w:rPr>
      </w:pPr>
      <w:r>
        <w:rPr>
          <w:rFonts w:hint="eastAsia" w:ascii="宋体" w:hAnsi="宋体" w:cs="宋体"/>
          <w:color w:val="000000"/>
          <w:sz w:val="24"/>
          <w:szCs w:val="24"/>
        </w:rPr>
        <w:t>12.3乙方养护达不到协议标准的或未按养护规程养护的，甲方可发出整改书面通知书或口头通知。乙方5天内未于整改的，甲方可扣除当月的养护费用。20天内未整改的，甲方有权终止协议。</w:t>
      </w:r>
    </w:p>
    <w:p>
      <w:pPr>
        <w:widowControl/>
        <w:adjustRightInd w:val="0"/>
        <w:snapToGrid w:val="0"/>
        <w:spacing w:line="460" w:lineRule="exact"/>
        <w:ind w:firstLine="420"/>
        <w:rPr>
          <w:rFonts w:hint="eastAsia" w:ascii="宋体" w:hAnsi="宋体" w:cs="宋体"/>
          <w:color w:val="000000"/>
          <w:sz w:val="24"/>
          <w:szCs w:val="24"/>
        </w:rPr>
      </w:pPr>
      <w:r>
        <w:rPr>
          <w:rFonts w:hint="eastAsia" w:ascii="宋体" w:hAnsi="宋体" w:cs="宋体"/>
          <w:color w:val="000000"/>
          <w:sz w:val="24"/>
          <w:szCs w:val="24"/>
        </w:rPr>
        <w:t>12.4 乙方负责对甲方租摆的植物进行浇水、养护、修剪、除草、杀虫、施肥等工作。租摆植物如出现发黄、枯萎等现象当日立即更换。如乙方养护或更换达不到协议标准的，甲方可发出整改书面通知书或口头通知。乙方5天内未于整改的，甲方可扣除当月的租摆费用。20天内未整改的，甲方有权终止协议。</w:t>
      </w:r>
    </w:p>
    <w:p>
      <w:pPr>
        <w:widowControl/>
        <w:adjustRightInd w:val="0"/>
        <w:snapToGrid w:val="0"/>
        <w:spacing w:line="460" w:lineRule="exact"/>
        <w:ind w:firstLine="420"/>
        <w:rPr>
          <w:rFonts w:hint="eastAsia" w:ascii="宋体" w:hAnsi="宋体" w:cs="宋体"/>
          <w:b/>
          <w:bCs/>
          <w:color w:val="000000"/>
          <w:sz w:val="24"/>
          <w:szCs w:val="24"/>
        </w:rPr>
      </w:pPr>
      <w:r>
        <w:rPr>
          <w:rFonts w:hint="eastAsia" w:ascii="宋体" w:hAnsi="宋体" w:cs="宋体"/>
          <w:b/>
          <w:bCs/>
          <w:color w:val="000000"/>
          <w:sz w:val="24"/>
          <w:szCs w:val="24"/>
        </w:rPr>
        <w:t>13、争议解决方式：</w:t>
      </w:r>
    </w:p>
    <w:p>
      <w:pPr>
        <w:widowControl/>
        <w:adjustRightInd w:val="0"/>
        <w:snapToGrid w:val="0"/>
        <w:spacing w:line="460" w:lineRule="exact"/>
        <w:ind w:firstLine="420"/>
        <w:rPr>
          <w:rFonts w:hint="eastAsia" w:ascii="宋体" w:hAnsi="宋体" w:cs="宋体"/>
          <w:color w:val="000000"/>
          <w:sz w:val="24"/>
          <w:szCs w:val="24"/>
        </w:rPr>
      </w:pPr>
      <w:r>
        <w:rPr>
          <w:rFonts w:hint="eastAsia" w:ascii="宋体" w:hAnsi="宋体" w:cs="宋体"/>
          <w:color w:val="000000"/>
          <w:sz w:val="24"/>
          <w:szCs w:val="24"/>
        </w:rPr>
        <w:t>凡有关本协议或执行本协议时发生的争议由双方协商解决，协商不成时任何一方均有权诉至法院，无论哪一方起诉，均由所在地法院管辖。</w:t>
      </w:r>
    </w:p>
    <w:p>
      <w:pPr>
        <w:widowControl/>
        <w:adjustRightInd w:val="0"/>
        <w:snapToGrid w:val="0"/>
        <w:spacing w:line="460" w:lineRule="exact"/>
        <w:ind w:firstLine="420"/>
        <w:rPr>
          <w:rFonts w:hint="eastAsia" w:ascii="宋体" w:hAnsi="宋体" w:cs="宋体"/>
          <w:b/>
          <w:bCs/>
          <w:color w:val="000000"/>
          <w:sz w:val="24"/>
          <w:szCs w:val="24"/>
        </w:rPr>
      </w:pPr>
      <w:r>
        <w:rPr>
          <w:rFonts w:hint="eastAsia" w:ascii="宋体" w:hAnsi="宋体" w:cs="宋体"/>
          <w:b/>
          <w:bCs/>
          <w:color w:val="000000"/>
          <w:sz w:val="24"/>
          <w:szCs w:val="24"/>
        </w:rPr>
        <w:t>14、其他：</w:t>
      </w:r>
    </w:p>
    <w:p>
      <w:pPr>
        <w:widowControl/>
        <w:adjustRightInd w:val="0"/>
        <w:snapToGrid w:val="0"/>
        <w:spacing w:line="460" w:lineRule="exact"/>
        <w:ind w:firstLine="420"/>
        <w:rPr>
          <w:rFonts w:hint="eastAsia" w:ascii="宋体" w:hAnsi="宋体" w:cs="宋体"/>
          <w:color w:val="000000"/>
          <w:sz w:val="24"/>
          <w:szCs w:val="24"/>
        </w:rPr>
      </w:pPr>
      <w:r>
        <w:rPr>
          <w:rFonts w:hint="eastAsia" w:ascii="宋体" w:hAnsi="宋体" w:cs="宋体"/>
          <w:color w:val="000000"/>
          <w:sz w:val="24"/>
          <w:szCs w:val="24"/>
        </w:rPr>
        <w:t>14.1本协议未尽事宜，双方应友好协商，签订补充协议，补充协议与本协议具有同等的法律效力。</w:t>
      </w:r>
    </w:p>
    <w:p>
      <w:pPr>
        <w:widowControl/>
        <w:adjustRightInd w:val="0"/>
        <w:snapToGrid w:val="0"/>
        <w:spacing w:line="460" w:lineRule="exact"/>
        <w:ind w:firstLine="420"/>
        <w:rPr>
          <w:rFonts w:hint="eastAsia" w:ascii="宋体" w:hAnsi="宋体" w:cs="宋体"/>
          <w:color w:val="000000"/>
          <w:sz w:val="24"/>
          <w:szCs w:val="24"/>
        </w:rPr>
      </w:pPr>
      <w:r>
        <w:rPr>
          <w:rFonts w:hint="eastAsia" w:ascii="宋体" w:hAnsi="宋体" w:cs="宋体"/>
          <w:color w:val="000000"/>
          <w:sz w:val="24"/>
          <w:szCs w:val="24"/>
        </w:rPr>
        <w:t>14.2本协议一式（肆）份，双方各执（贰）份,均具有同等法律效力。</w:t>
      </w:r>
    </w:p>
    <w:p>
      <w:pPr>
        <w:widowControl/>
        <w:spacing w:line="600" w:lineRule="exact"/>
        <w:ind w:firstLine="420"/>
        <w:rPr>
          <w:rFonts w:hint="eastAsia" w:ascii="宋体" w:hAnsi="宋体" w:cs="宋体"/>
          <w:color w:val="000000"/>
          <w:sz w:val="24"/>
          <w:szCs w:val="24"/>
        </w:rPr>
      </w:pPr>
    </w:p>
    <w:p>
      <w:pPr>
        <w:widowControl/>
        <w:spacing w:line="600" w:lineRule="exact"/>
        <w:ind w:firstLine="420"/>
        <w:rPr>
          <w:rFonts w:hint="eastAsia" w:ascii="宋体" w:hAnsi="宋体" w:cs="宋体"/>
          <w:color w:val="000000"/>
          <w:sz w:val="24"/>
          <w:szCs w:val="24"/>
        </w:rPr>
      </w:pPr>
      <w:r>
        <w:rPr>
          <w:rFonts w:hint="eastAsia" w:ascii="宋体" w:hAnsi="宋体" w:cs="宋体"/>
          <w:color w:val="000000"/>
          <w:sz w:val="24"/>
          <w:szCs w:val="24"/>
        </w:rPr>
        <w:t>甲方: （盖章）                            乙方: （盖章）</w:t>
      </w:r>
    </w:p>
    <w:p>
      <w:pPr>
        <w:widowControl/>
        <w:spacing w:line="600" w:lineRule="exact"/>
        <w:ind w:firstLine="420"/>
        <w:rPr>
          <w:rFonts w:hint="eastAsia" w:ascii="宋体" w:hAnsi="宋体" w:cs="宋体"/>
          <w:color w:val="000000"/>
          <w:sz w:val="24"/>
          <w:szCs w:val="24"/>
        </w:rPr>
      </w:pPr>
    </w:p>
    <w:p>
      <w:pPr>
        <w:snapToGrid w:val="0"/>
        <w:spacing w:line="480" w:lineRule="exact"/>
        <w:ind w:firstLine="480" w:firstLineChars="200"/>
        <w:jc w:val="center"/>
        <w:rPr>
          <w:rFonts w:hint="eastAsia" w:ascii="宋体" w:hAnsi="宋体" w:cs="宋体"/>
          <w:color w:val="000000"/>
          <w:sz w:val="24"/>
          <w:szCs w:val="24"/>
        </w:rPr>
        <w:sectPr>
          <w:headerReference r:id="rId9" w:type="default"/>
          <w:footerReference r:id="rId10" w:type="default"/>
          <w:pgSz w:w="11906" w:h="16838"/>
          <w:pgMar w:top="1021" w:right="1134" w:bottom="1134" w:left="1134" w:header="851" w:footer="992" w:gutter="0"/>
          <w:pgNumType w:fmt="numberInDash"/>
          <w:cols w:space="720" w:num="1"/>
          <w:docGrid w:linePitch="312" w:charSpace="0"/>
        </w:sectPr>
      </w:pPr>
      <w:r>
        <w:rPr>
          <w:rFonts w:hint="eastAsia" w:ascii="宋体" w:hAnsi="宋体" w:cs="宋体"/>
          <w:color w:val="000000"/>
          <w:sz w:val="24"/>
          <w:szCs w:val="24"/>
        </w:rPr>
        <w:t>年    月    日                            年    月    日</w:t>
      </w:r>
    </w:p>
    <w:p>
      <w:pPr>
        <w:rPr>
          <w:rFonts w:hint="eastAsia" w:cs="仿宋" w:asciiTheme="majorEastAsia" w:hAnsiTheme="majorEastAsia" w:eastAsiaTheme="majorEastAsia"/>
          <w:sz w:val="24"/>
        </w:rPr>
      </w:pPr>
      <w:r>
        <w:rPr>
          <w:rFonts w:hint="eastAsia" w:cs="仿宋" w:asciiTheme="majorEastAsia" w:hAnsiTheme="majorEastAsia" w:eastAsiaTheme="majorEastAsia"/>
          <w:b/>
          <w:bCs/>
          <w:sz w:val="24"/>
        </w:rPr>
        <w:t xml:space="preserve">附件1  </w:t>
      </w:r>
      <w:r>
        <w:rPr>
          <w:rFonts w:hint="eastAsia" w:cs="仿宋" w:asciiTheme="majorEastAsia" w:hAnsiTheme="majorEastAsia" w:eastAsiaTheme="majorEastAsia"/>
          <w:sz w:val="24"/>
        </w:rPr>
        <w:t xml:space="preserve">                                 </w:t>
      </w:r>
    </w:p>
    <w:p>
      <w:pPr>
        <w:ind w:right="720"/>
        <w:jc w:val="center"/>
        <w:rPr>
          <w:rFonts w:hint="eastAsia" w:cs="仿宋" w:asciiTheme="majorEastAsia" w:hAnsiTheme="majorEastAsia" w:eastAsiaTheme="majorEastAsia"/>
          <w:b/>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年</w:t>
      </w:r>
      <w:r>
        <w:rPr>
          <w:rFonts w:hint="eastAsia" w:cs="仿宋" w:asciiTheme="majorEastAsia" w:hAnsiTheme="majorEastAsia" w:eastAsiaTheme="majorEastAsia"/>
          <w:b/>
          <w:sz w:val="24"/>
          <w:u w:val="single"/>
        </w:rPr>
        <w:t xml:space="preserve">    </w:t>
      </w:r>
      <w:r>
        <w:rPr>
          <w:rFonts w:hint="eastAsia" w:cs="仿宋" w:asciiTheme="majorEastAsia" w:hAnsiTheme="majorEastAsia" w:eastAsiaTheme="majorEastAsia"/>
          <w:b/>
          <w:sz w:val="24"/>
        </w:rPr>
        <w:t>月份绿化养护管理考核评分标准</w:t>
      </w:r>
    </w:p>
    <w:p>
      <w:pPr>
        <w:rPr>
          <w:rFonts w:hint="eastAsia" w:asciiTheme="majorEastAsia" w:hAnsiTheme="majorEastAsia" w:eastAsiaTheme="majorEastAsia"/>
          <w:b/>
          <w:sz w:val="24"/>
          <w:u w:val="single"/>
        </w:rPr>
      </w:pPr>
    </w:p>
    <w:tbl>
      <w:tblPr>
        <w:tblStyle w:val="50"/>
        <w:tblW w:w="10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4011"/>
        <w:gridCol w:w="750"/>
        <w:gridCol w:w="450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41" w:type="dxa"/>
            <w:vAlign w:val="center"/>
          </w:tcPr>
          <w:p>
            <w:pPr>
              <w:widowControl/>
              <w:jc w:val="center"/>
              <w:rPr>
                <w:rFonts w:hint="eastAsia" w:cs="仿宋" w:asciiTheme="majorEastAsia" w:hAnsiTheme="majorEastAsia" w:eastAsiaTheme="majorEastAsia"/>
                <w:b/>
                <w:bCs/>
                <w:szCs w:val="21"/>
              </w:rPr>
            </w:pPr>
            <w:r>
              <w:rPr>
                <w:rFonts w:hint="eastAsia" w:cs="仿宋" w:asciiTheme="majorEastAsia" w:hAnsiTheme="majorEastAsia" w:eastAsiaTheme="majorEastAsia"/>
                <w:b/>
                <w:bCs/>
                <w:szCs w:val="21"/>
              </w:rPr>
              <w:t>条目</w:t>
            </w:r>
          </w:p>
        </w:tc>
        <w:tc>
          <w:tcPr>
            <w:tcW w:w="4011" w:type="dxa"/>
            <w:vAlign w:val="center"/>
          </w:tcPr>
          <w:p>
            <w:pPr>
              <w:widowControl/>
              <w:jc w:val="center"/>
              <w:rPr>
                <w:rFonts w:hint="eastAsia" w:cs="仿宋" w:asciiTheme="majorEastAsia" w:hAnsiTheme="majorEastAsia" w:eastAsiaTheme="majorEastAsia"/>
                <w:b/>
                <w:bCs/>
                <w:szCs w:val="21"/>
              </w:rPr>
            </w:pPr>
            <w:r>
              <w:rPr>
                <w:rFonts w:hint="eastAsia" w:cs="仿宋" w:asciiTheme="majorEastAsia" w:hAnsiTheme="majorEastAsia" w:eastAsiaTheme="majorEastAsia"/>
                <w:b/>
                <w:bCs/>
                <w:szCs w:val="21"/>
              </w:rPr>
              <w:t>考核内容及管护要求</w:t>
            </w:r>
          </w:p>
        </w:tc>
        <w:tc>
          <w:tcPr>
            <w:tcW w:w="750" w:type="dxa"/>
            <w:vAlign w:val="center"/>
          </w:tcPr>
          <w:p>
            <w:pPr>
              <w:widowControl/>
              <w:jc w:val="center"/>
              <w:rPr>
                <w:rFonts w:hint="eastAsia" w:cs="仿宋" w:asciiTheme="majorEastAsia" w:hAnsiTheme="majorEastAsia" w:eastAsiaTheme="majorEastAsia"/>
                <w:b/>
                <w:bCs/>
                <w:szCs w:val="21"/>
              </w:rPr>
            </w:pPr>
            <w:r>
              <w:rPr>
                <w:rFonts w:hint="eastAsia" w:cs="仿宋" w:asciiTheme="majorEastAsia" w:hAnsiTheme="majorEastAsia" w:eastAsiaTheme="majorEastAsia"/>
                <w:b/>
                <w:bCs/>
                <w:szCs w:val="21"/>
              </w:rPr>
              <w:t>标准分值</w:t>
            </w:r>
          </w:p>
        </w:tc>
        <w:tc>
          <w:tcPr>
            <w:tcW w:w="4500" w:type="dxa"/>
            <w:vAlign w:val="center"/>
          </w:tcPr>
          <w:p>
            <w:pPr>
              <w:widowControl/>
              <w:jc w:val="center"/>
              <w:rPr>
                <w:rFonts w:hint="eastAsia" w:cs="仿宋" w:asciiTheme="majorEastAsia" w:hAnsiTheme="majorEastAsia" w:eastAsiaTheme="majorEastAsia"/>
                <w:b/>
                <w:bCs/>
                <w:szCs w:val="21"/>
              </w:rPr>
            </w:pPr>
            <w:r>
              <w:rPr>
                <w:rFonts w:hint="eastAsia" w:cs="仿宋" w:asciiTheme="majorEastAsia" w:hAnsiTheme="majorEastAsia" w:eastAsiaTheme="majorEastAsia"/>
                <w:b/>
                <w:bCs/>
                <w:szCs w:val="21"/>
              </w:rPr>
              <w:t>扣分细则</w:t>
            </w:r>
          </w:p>
        </w:tc>
        <w:tc>
          <w:tcPr>
            <w:tcW w:w="655" w:type="dxa"/>
            <w:vAlign w:val="center"/>
          </w:tcPr>
          <w:p>
            <w:pPr>
              <w:widowControl/>
              <w:jc w:val="center"/>
              <w:rPr>
                <w:rFonts w:hint="eastAsia" w:cs="仿宋" w:asciiTheme="majorEastAsia" w:hAnsiTheme="majorEastAsia" w:eastAsiaTheme="majorEastAsia"/>
                <w:b/>
                <w:bCs/>
                <w:szCs w:val="21"/>
              </w:rPr>
            </w:pPr>
            <w:r>
              <w:rPr>
                <w:rFonts w:hint="eastAsia" w:cs="仿宋" w:asciiTheme="majorEastAsia" w:hAnsiTheme="majorEastAsia" w:eastAsiaTheme="majorEastAsia"/>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41" w:type="dxa"/>
            <w:vAlign w:val="center"/>
          </w:tcPr>
          <w:p>
            <w:pPr>
              <w:widowControl/>
              <w:jc w:val="center"/>
              <w:rPr>
                <w:rFonts w:hint="eastAsia" w:cs="仿宋" w:asciiTheme="majorEastAsia" w:hAnsiTheme="majorEastAsia" w:eastAsiaTheme="majorEastAsia"/>
                <w:b/>
                <w:bCs/>
                <w:szCs w:val="21"/>
              </w:rPr>
            </w:pPr>
            <w:r>
              <w:rPr>
                <w:rFonts w:hint="eastAsia" w:cs="仿宋" w:asciiTheme="majorEastAsia" w:hAnsiTheme="majorEastAsia" w:eastAsiaTheme="majorEastAsia"/>
                <w:b/>
                <w:bCs/>
                <w:kern w:val="0"/>
                <w:szCs w:val="21"/>
              </w:rPr>
              <w:t>绿化长势</w:t>
            </w:r>
          </w:p>
        </w:tc>
        <w:tc>
          <w:tcPr>
            <w:tcW w:w="4011" w:type="dxa"/>
            <w:vAlign w:val="center"/>
          </w:tcPr>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树木、草坪、花卉、色块等生长茂盛，树冠完整，树形整齐美观。无倾斜、倒伏，无枯枝、死树，绿化保存率100%。</w:t>
            </w:r>
          </w:p>
        </w:tc>
        <w:tc>
          <w:tcPr>
            <w:tcW w:w="750" w:type="dxa"/>
            <w:vAlign w:val="center"/>
          </w:tcPr>
          <w:p>
            <w:pPr>
              <w:widowControl/>
              <w:adjustRightInd w:val="0"/>
              <w:snapToGrid w:val="0"/>
              <w:spacing w:line="240" w:lineRule="exact"/>
              <w:jc w:val="center"/>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9</w:t>
            </w:r>
          </w:p>
        </w:tc>
        <w:tc>
          <w:tcPr>
            <w:tcW w:w="4500" w:type="dxa"/>
            <w:vAlign w:val="center"/>
          </w:tcPr>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树冠不完整、树形差、有光秃落叶的,扣1分/株·处，有树木倾斜或倒伏现象的，扣0.5分/株·处，有明显枯枝的0.5分/株·处，有死亡现象的扣1分/株·㎡﹑草坪1分/20㎡；不及时进行补缺的，扣0.5分/株·处。</w:t>
            </w:r>
          </w:p>
        </w:tc>
        <w:tc>
          <w:tcPr>
            <w:tcW w:w="655" w:type="dxa"/>
            <w:vAlign w:val="center"/>
          </w:tcPr>
          <w:p>
            <w:pPr>
              <w:widowControl/>
              <w:jc w:val="center"/>
              <w:rPr>
                <w:rFonts w:hint="eastAsia"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41" w:type="dxa"/>
            <w:vAlign w:val="center"/>
          </w:tcPr>
          <w:p>
            <w:pPr>
              <w:widowControl/>
              <w:jc w:val="center"/>
              <w:rPr>
                <w:rFonts w:hint="eastAsia" w:cs="仿宋" w:asciiTheme="majorEastAsia" w:hAnsiTheme="majorEastAsia" w:eastAsiaTheme="majorEastAsia"/>
                <w:b/>
                <w:bCs/>
                <w:szCs w:val="21"/>
              </w:rPr>
            </w:pPr>
            <w:r>
              <w:rPr>
                <w:rFonts w:hint="eastAsia" w:cs="仿宋" w:asciiTheme="majorEastAsia" w:hAnsiTheme="majorEastAsia" w:eastAsiaTheme="majorEastAsia"/>
                <w:b/>
                <w:bCs/>
                <w:kern w:val="0"/>
                <w:szCs w:val="21"/>
              </w:rPr>
              <w:t>松土除草</w:t>
            </w:r>
          </w:p>
        </w:tc>
        <w:tc>
          <w:tcPr>
            <w:tcW w:w="4011" w:type="dxa"/>
            <w:vAlign w:val="center"/>
          </w:tcPr>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及时松土除杂草，常年保持土壤疏松，松土深度不伤根系。不得随意使用化学除草剂，遵循先人工除草后机械修剪的原则。</w:t>
            </w:r>
          </w:p>
        </w:tc>
        <w:tc>
          <w:tcPr>
            <w:tcW w:w="750" w:type="dxa"/>
            <w:vAlign w:val="center"/>
          </w:tcPr>
          <w:p>
            <w:pPr>
              <w:widowControl/>
              <w:adjustRightInd w:val="0"/>
              <w:snapToGrid w:val="0"/>
              <w:spacing w:line="240" w:lineRule="exact"/>
              <w:jc w:val="center"/>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8</w:t>
            </w:r>
          </w:p>
        </w:tc>
        <w:tc>
          <w:tcPr>
            <w:tcW w:w="4500" w:type="dxa"/>
            <w:vAlign w:val="center"/>
          </w:tcPr>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杂草未及时清除扣0.5-1分/50平方，树穴、地被土壤板结，扣0.5分/处。随意使用化学除草剂的2分/处·次；违反先人工除草后机械修剪的原则，扣1分/处（50平方为一处）。</w:t>
            </w:r>
          </w:p>
        </w:tc>
        <w:tc>
          <w:tcPr>
            <w:tcW w:w="655" w:type="dxa"/>
            <w:vAlign w:val="center"/>
          </w:tcPr>
          <w:p>
            <w:pPr>
              <w:widowControl/>
              <w:jc w:val="center"/>
              <w:rPr>
                <w:rFonts w:hint="eastAsia"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41" w:type="dxa"/>
            <w:vAlign w:val="center"/>
          </w:tcPr>
          <w:p>
            <w:pPr>
              <w:widowControl/>
              <w:jc w:val="center"/>
              <w:rPr>
                <w:rFonts w:hint="eastAsia" w:cs="仿宋" w:asciiTheme="majorEastAsia" w:hAnsiTheme="majorEastAsia" w:eastAsiaTheme="majorEastAsia"/>
                <w:b/>
                <w:bCs/>
                <w:szCs w:val="21"/>
              </w:rPr>
            </w:pPr>
            <w:r>
              <w:rPr>
                <w:rFonts w:hint="eastAsia" w:cs="仿宋" w:asciiTheme="majorEastAsia" w:hAnsiTheme="majorEastAsia" w:eastAsiaTheme="majorEastAsia"/>
                <w:b/>
                <w:bCs/>
                <w:kern w:val="0"/>
                <w:szCs w:val="21"/>
              </w:rPr>
              <w:t>浇水抗旱</w:t>
            </w:r>
          </w:p>
        </w:tc>
        <w:tc>
          <w:tcPr>
            <w:tcW w:w="4011" w:type="dxa"/>
            <w:vAlign w:val="center"/>
          </w:tcPr>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对绿化树木及草坪进行适期适量浇水、喷水，及时抗旱，确保正常生长。绿地内不积水，坑坑洼洼必须及时填平，确保雨后积水及时排除。</w:t>
            </w:r>
          </w:p>
        </w:tc>
        <w:tc>
          <w:tcPr>
            <w:tcW w:w="750" w:type="dxa"/>
            <w:vAlign w:val="center"/>
          </w:tcPr>
          <w:p>
            <w:pPr>
              <w:widowControl/>
              <w:adjustRightInd w:val="0"/>
              <w:snapToGrid w:val="0"/>
              <w:spacing w:line="240" w:lineRule="exact"/>
              <w:jc w:val="center"/>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9</w:t>
            </w:r>
          </w:p>
        </w:tc>
        <w:tc>
          <w:tcPr>
            <w:tcW w:w="4500" w:type="dxa"/>
            <w:vAlign w:val="center"/>
          </w:tcPr>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未及时浇水、喷水，致使树木、草坪生长不良的，扣1-5分/处，致植物枯死的加倍扣分。</w:t>
            </w:r>
          </w:p>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有积水现象的，扣0.5分/处·次。</w:t>
            </w:r>
          </w:p>
        </w:tc>
        <w:tc>
          <w:tcPr>
            <w:tcW w:w="655" w:type="dxa"/>
            <w:vAlign w:val="center"/>
          </w:tcPr>
          <w:p>
            <w:pPr>
              <w:widowControl/>
              <w:jc w:val="center"/>
              <w:rPr>
                <w:rFonts w:hint="eastAsia"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41" w:type="dxa"/>
            <w:vAlign w:val="center"/>
          </w:tcPr>
          <w:p>
            <w:pPr>
              <w:widowControl/>
              <w:jc w:val="center"/>
              <w:rPr>
                <w:rFonts w:hint="eastAsia" w:cs="仿宋" w:asciiTheme="majorEastAsia" w:hAnsiTheme="majorEastAsia" w:eastAsiaTheme="majorEastAsia"/>
                <w:b/>
                <w:bCs/>
                <w:szCs w:val="21"/>
              </w:rPr>
            </w:pPr>
            <w:r>
              <w:rPr>
                <w:rFonts w:hint="eastAsia" w:cs="仿宋" w:asciiTheme="majorEastAsia" w:hAnsiTheme="majorEastAsia" w:eastAsiaTheme="majorEastAsia"/>
                <w:b/>
                <w:bCs/>
                <w:szCs w:val="21"/>
              </w:rPr>
              <w:t>施肥</w:t>
            </w:r>
          </w:p>
        </w:tc>
        <w:tc>
          <w:tcPr>
            <w:tcW w:w="4011" w:type="dxa"/>
            <w:vAlign w:val="center"/>
          </w:tcPr>
          <w:p>
            <w:pPr>
              <w:widowControl/>
              <w:adjustRightInd w:val="0"/>
              <w:snapToGrid w:val="0"/>
              <w:spacing w:line="240" w:lineRule="exact"/>
              <w:jc w:val="left"/>
              <w:rPr>
                <w:rFonts w:hint="eastAsia" w:cs="仿宋" w:asciiTheme="majorEastAsia" w:hAnsiTheme="majorEastAsia" w:eastAsiaTheme="majorEastAsia"/>
                <w:szCs w:val="21"/>
              </w:rPr>
            </w:pPr>
            <w:r>
              <w:rPr>
                <w:rFonts w:hint="eastAsia" w:cs="仿宋" w:asciiTheme="majorEastAsia" w:hAnsiTheme="majorEastAsia" w:eastAsiaTheme="majorEastAsia"/>
                <w:kern w:val="0"/>
                <w:szCs w:val="21"/>
              </w:rPr>
              <w:t>按要求施肥及时，规范操作，施肥后及时覆盖。施肥方法适当，用量合理，不产生肥害。</w:t>
            </w:r>
          </w:p>
        </w:tc>
        <w:tc>
          <w:tcPr>
            <w:tcW w:w="750" w:type="dxa"/>
            <w:vAlign w:val="center"/>
          </w:tcPr>
          <w:p>
            <w:pPr>
              <w:widowControl/>
              <w:adjustRightInd w:val="0"/>
              <w:snapToGrid w:val="0"/>
              <w:spacing w:line="24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rPr>
              <w:t>9</w:t>
            </w:r>
          </w:p>
        </w:tc>
        <w:tc>
          <w:tcPr>
            <w:tcW w:w="4500" w:type="dxa"/>
            <w:vAlign w:val="center"/>
          </w:tcPr>
          <w:p>
            <w:pPr>
              <w:widowControl/>
              <w:adjustRightInd w:val="0"/>
              <w:snapToGrid w:val="0"/>
              <w:spacing w:line="240" w:lineRule="exact"/>
              <w:jc w:val="left"/>
              <w:rPr>
                <w:rFonts w:hint="eastAsia" w:cs="仿宋" w:asciiTheme="majorEastAsia" w:hAnsiTheme="majorEastAsia" w:eastAsiaTheme="majorEastAsia"/>
                <w:szCs w:val="21"/>
              </w:rPr>
            </w:pPr>
            <w:r>
              <w:rPr>
                <w:rFonts w:hint="eastAsia" w:cs="仿宋" w:asciiTheme="majorEastAsia" w:hAnsiTheme="majorEastAsia" w:eastAsiaTheme="majorEastAsia"/>
                <w:kern w:val="0"/>
                <w:szCs w:val="21"/>
              </w:rPr>
              <w:t>未按要求保质保量施肥的，每次扣2分；发生肥害，扣2分/处。</w:t>
            </w:r>
          </w:p>
        </w:tc>
        <w:tc>
          <w:tcPr>
            <w:tcW w:w="655" w:type="dxa"/>
            <w:vAlign w:val="center"/>
          </w:tcPr>
          <w:p>
            <w:pPr>
              <w:widowControl/>
              <w:jc w:val="center"/>
              <w:rPr>
                <w:rFonts w:hint="eastAsia"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1" w:type="dxa"/>
            <w:vAlign w:val="center"/>
          </w:tcPr>
          <w:p>
            <w:pPr>
              <w:widowControl/>
              <w:jc w:val="center"/>
              <w:rPr>
                <w:rFonts w:hint="eastAsia" w:cs="仿宋" w:asciiTheme="majorEastAsia" w:hAnsiTheme="majorEastAsia" w:eastAsiaTheme="majorEastAsia"/>
                <w:b/>
                <w:bCs/>
                <w:szCs w:val="21"/>
              </w:rPr>
            </w:pPr>
            <w:r>
              <w:rPr>
                <w:rFonts w:hint="eastAsia" w:cs="仿宋" w:asciiTheme="majorEastAsia" w:hAnsiTheme="majorEastAsia" w:eastAsiaTheme="majorEastAsia"/>
                <w:b/>
                <w:bCs/>
                <w:szCs w:val="21"/>
              </w:rPr>
              <w:t>病虫防治</w:t>
            </w:r>
          </w:p>
        </w:tc>
        <w:tc>
          <w:tcPr>
            <w:tcW w:w="4011" w:type="dxa"/>
            <w:vAlign w:val="center"/>
          </w:tcPr>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按规定使用农药，科学防治，做到合理配比、选准药品、用量正确，无药害产生。</w:t>
            </w:r>
          </w:p>
        </w:tc>
        <w:tc>
          <w:tcPr>
            <w:tcW w:w="750" w:type="dxa"/>
            <w:vAlign w:val="center"/>
          </w:tcPr>
          <w:p>
            <w:pPr>
              <w:widowControl/>
              <w:adjustRightInd w:val="0"/>
              <w:snapToGrid w:val="0"/>
              <w:spacing w:line="240" w:lineRule="exact"/>
              <w:jc w:val="center"/>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8</w:t>
            </w:r>
          </w:p>
        </w:tc>
        <w:tc>
          <w:tcPr>
            <w:tcW w:w="4500" w:type="dxa"/>
            <w:vAlign w:val="center"/>
          </w:tcPr>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防治不及时的，扣1分/次；不及时清除越冬虫蛹、虫茧及有关病原体的扣1分/处。</w:t>
            </w:r>
          </w:p>
        </w:tc>
        <w:tc>
          <w:tcPr>
            <w:tcW w:w="655" w:type="dxa"/>
            <w:vAlign w:val="center"/>
          </w:tcPr>
          <w:p>
            <w:pPr>
              <w:widowControl/>
              <w:jc w:val="center"/>
              <w:rPr>
                <w:rFonts w:hint="eastAsia"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1" w:type="dxa"/>
            <w:vAlign w:val="center"/>
          </w:tcPr>
          <w:p>
            <w:pPr>
              <w:widowControl/>
              <w:jc w:val="center"/>
              <w:rPr>
                <w:rFonts w:hint="eastAsia" w:cs="仿宋" w:asciiTheme="majorEastAsia" w:hAnsiTheme="majorEastAsia" w:eastAsiaTheme="majorEastAsia"/>
                <w:b/>
                <w:bCs/>
                <w:szCs w:val="21"/>
              </w:rPr>
            </w:pPr>
            <w:r>
              <w:rPr>
                <w:rFonts w:hint="eastAsia" w:cs="仿宋" w:asciiTheme="majorEastAsia" w:hAnsiTheme="majorEastAsia" w:eastAsiaTheme="majorEastAsia"/>
                <w:b/>
                <w:bCs/>
                <w:szCs w:val="21"/>
              </w:rPr>
              <w:t>修剪整形</w:t>
            </w:r>
          </w:p>
        </w:tc>
        <w:tc>
          <w:tcPr>
            <w:tcW w:w="4011" w:type="dxa"/>
            <w:vAlign w:val="center"/>
          </w:tcPr>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乔木修剪定期、整齐，整枝合理均匀；根据树木习性及时剥芽，修剪符合要求，树木通风透光良好，花灌木根据特性修剪及时、准确。草坪要适时进行修剪，保持一定高度，修剪面平整，边角无遗留，草屑及时扫尽运出。造型植物适时修剪，定期造型，满足景观要求。</w:t>
            </w:r>
          </w:p>
        </w:tc>
        <w:tc>
          <w:tcPr>
            <w:tcW w:w="750" w:type="dxa"/>
            <w:vAlign w:val="center"/>
          </w:tcPr>
          <w:p>
            <w:pPr>
              <w:widowControl/>
              <w:adjustRightInd w:val="0"/>
              <w:snapToGrid w:val="0"/>
              <w:spacing w:line="240" w:lineRule="exact"/>
              <w:jc w:val="center"/>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9</w:t>
            </w:r>
          </w:p>
        </w:tc>
        <w:tc>
          <w:tcPr>
            <w:tcW w:w="4500" w:type="dxa"/>
            <w:vAlign w:val="center"/>
          </w:tcPr>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各类乔木、大型花灌木不适时修剪的，扣0.5分/株；不按要求修剪，扣0.5分/处；草坪不及时修剪、修剪面不平，边角有遗留，扣0.5分/处；造型植物不及时修剪、质量不符合要求的扣0.5分/处。</w:t>
            </w:r>
          </w:p>
        </w:tc>
        <w:tc>
          <w:tcPr>
            <w:tcW w:w="655" w:type="dxa"/>
            <w:vAlign w:val="center"/>
          </w:tcPr>
          <w:p>
            <w:pPr>
              <w:widowControl/>
              <w:jc w:val="center"/>
              <w:rPr>
                <w:rFonts w:hint="eastAsia"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1" w:type="dxa"/>
            <w:vAlign w:val="center"/>
          </w:tcPr>
          <w:p>
            <w:pPr>
              <w:jc w:val="center"/>
              <w:rPr>
                <w:rFonts w:hint="eastAsia" w:cs="仿宋" w:asciiTheme="majorEastAsia" w:hAnsiTheme="majorEastAsia" w:eastAsiaTheme="majorEastAsia"/>
                <w:b/>
                <w:bCs/>
                <w:spacing w:val="-6"/>
                <w:szCs w:val="21"/>
              </w:rPr>
            </w:pPr>
            <w:r>
              <w:rPr>
                <w:rFonts w:hint="eastAsia" w:cs="仿宋" w:asciiTheme="majorEastAsia" w:hAnsiTheme="majorEastAsia" w:eastAsiaTheme="majorEastAsia"/>
                <w:b/>
                <w:bCs/>
                <w:spacing w:val="-6"/>
                <w:szCs w:val="21"/>
              </w:rPr>
              <w:t>养护管理</w:t>
            </w:r>
          </w:p>
        </w:tc>
        <w:tc>
          <w:tcPr>
            <w:tcW w:w="4011" w:type="dxa"/>
          </w:tcPr>
          <w:p>
            <w:pPr>
              <w:widowControl/>
              <w:adjustRightInd w:val="0"/>
              <w:snapToGrid w:val="0"/>
              <w:spacing w:line="240" w:lineRule="exac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按规定养护内容和养护次数完成相应工作任务。</w:t>
            </w:r>
          </w:p>
        </w:tc>
        <w:tc>
          <w:tcPr>
            <w:tcW w:w="750" w:type="dxa"/>
            <w:vAlign w:val="center"/>
          </w:tcPr>
          <w:p>
            <w:pPr>
              <w:widowControl/>
              <w:adjustRightInd w:val="0"/>
              <w:snapToGrid w:val="0"/>
              <w:spacing w:line="240" w:lineRule="exact"/>
              <w:jc w:val="center"/>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8</w:t>
            </w:r>
          </w:p>
        </w:tc>
        <w:tc>
          <w:tcPr>
            <w:tcW w:w="4500" w:type="dxa"/>
            <w:vAlign w:val="center"/>
          </w:tcPr>
          <w:p>
            <w:pPr>
              <w:widowControl/>
              <w:adjustRightInd w:val="0"/>
              <w:snapToGrid w:val="0"/>
              <w:spacing w:line="240" w:lineRule="exac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未按照养护内容和养护次数完成的，扣0.5分/项·次。</w:t>
            </w:r>
          </w:p>
        </w:tc>
        <w:tc>
          <w:tcPr>
            <w:tcW w:w="655" w:type="dxa"/>
            <w:vAlign w:val="center"/>
          </w:tcPr>
          <w:p>
            <w:pPr>
              <w:widowControl/>
              <w:jc w:val="center"/>
              <w:rPr>
                <w:rFonts w:hint="eastAsia"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641" w:type="dxa"/>
            <w:vAlign w:val="center"/>
          </w:tcPr>
          <w:p>
            <w:pPr>
              <w:jc w:val="center"/>
              <w:rPr>
                <w:rFonts w:hint="eastAsia" w:cs="仿宋" w:asciiTheme="majorEastAsia" w:hAnsiTheme="majorEastAsia" w:eastAsiaTheme="majorEastAsia"/>
                <w:b/>
                <w:bCs/>
                <w:szCs w:val="21"/>
              </w:rPr>
            </w:pPr>
            <w:r>
              <w:rPr>
                <w:rFonts w:hint="eastAsia" w:cs="仿宋" w:asciiTheme="majorEastAsia" w:hAnsiTheme="majorEastAsia" w:eastAsiaTheme="majorEastAsia"/>
                <w:b/>
                <w:bCs/>
                <w:spacing w:val="-6"/>
                <w:szCs w:val="21"/>
              </w:rPr>
              <w:t>组织管理及安全生产</w:t>
            </w:r>
          </w:p>
        </w:tc>
        <w:tc>
          <w:tcPr>
            <w:tcW w:w="4011" w:type="dxa"/>
          </w:tcPr>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1）对影响秩序或存在安全隐患的潜在问题要采取有效措施防控。及时处置有安全隐患、妨碍通行的树木；（2）每月初上报月度养护计划；（3）有相应的特殊天气状况及紧急事件的应急预案；（4）因园林绿化养护单位工作不力、措施不到位等原因，造成安全事故的，该项不得分；（5）各标段养护负责人保持24小时通信畅通。</w:t>
            </w:r>
          </w:p>
        </w:tc>
        <w:tc>
          <w:tcPr>
            <w:tcW w:w="750" w:type="dxa"/>
            <w:vAlign w:val="center"/>
          </w:tcPr>
          <w:p>
            <w:pPr>
              <w:widowControl/>
              <w:adjustRightInd w:val="0"/>
              <w:snapToGrid w:val="0"/>
              <w:spacing w:line="240" w:lineRule="exact"/>
              <w:jc w:val="center"/>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15</w:t>
            </w:r>
          </w:p>
        </w:tc>
        <w:tc>
          <w:tcPr>
            <w:tcW w:w="4500" w:type="dxa"/>
            <w:vAlign w:val="center"/>
          </w:tcPr>
          <w:p>
            <w:pPr>
              <w:widowControl/>
              <w:adjustRightInd w:val="0"/>
              <w:snapToGrid w:val="0"/>
              <w:spacing w:line="240" w:lineRule="exac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 xml:space="preserve">每发现一处扣3分。 </w:t>
            </w:r>
          </w:p>
        </w:tc>
        <w:tc>
          <w:tcPr>
            <w:tcW w:w="655" w:type="dxa"/>
            <w:vAlign w:val="center"/>
          </w:tcPr>
          <w:p>
            <w:pPr>
              <w:widowControl/>
              <w:jc w:val="center"/>
              <w:rPr>
                <w:rFonts w:hint="eastAsia"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641" w:type="dxa"/>
            <w:vAlign w:val="center"/>
          </w:tcPr>
          <w:p>
            <w:pPr>
              <w:jc w:val="center"/>
              <w:rPr>
                <w:rFonts w:hint="eastAsia" w:cs="仿宋" w:asciiTheme="majorEastAsia" w:hAnsiTheme="majorEastAsia" w:eastAsiaTheme="majorEastAsia"/>
                <w:b/>
                <w:bCs/>
                <w:spacing w:val="-6"/>
                <w:szCs w:val="21"/>
              </w:rPr>
            </w:pPr>
            <w:r>
              <w:rPr>
                <w:rFonts w:hint="eastAsia" w:cs="仿宋" w:asciiTheme="majorEastAsia" w:hAnsiTheme="majorEastAsia" w:eastAsiaTheme="majorEastAsia"/>
                <w:b/>
                <w:bCs/>
                <w:spacing w:val="-6"/>
                <w:szCs w:val="21"/>
              </w:rPr>
              <w:t>工作完成情况</w:t>
            </w:r>
          </w:p>
        </w:tc>
        <w:tc>
          <w:tcPr>
            <w:tcW w:w="4011" w:type="dxa"/>
          </w:tcPr>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1）对甲方提出需要整改的问题，能按规定及时办结；（2）没有因新闻媒体曝光造成不良影响；（3）对上级交办的突击性工作和管护中的临时性工作能认真完成；（4）能按照要求完成月度工作计划及交办的月度重点任务；（5）人员按甲方要求及时到位。</w:t>
            </w:r>
          </w:p>
        </w:tc>
        <w:tc>
          <w:tcPr>
            <w:tcW w:w="750" w:type="dxa"/>
            <w:vAlign w:val="center"/>
          </w:tcPr>
          <w:p>
            <w:pPr>
              <w:widowControl/>
              <w:adjustRightInd w:val="0"/>
              <w:snapToGrid w:val="0"/>
              <w:spacing w:line="240" w:lineRule="exact"/>
              <w:jc w:val="center"/>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25</w:t>
            </w:r>
          </w:p>
        </w:tc>
        <w:tc>
          <w:tcPr>
            <w:tcW w:w="4500" w:type="dxa"/>
            <w:vAlign w:val="center"/>
          </w:tcPr>
          <w:p>
            <w:pPr>
              <w:widowControl/>
              <w:adjustRightInd w:val="0"/>
              <w:snapToGrid w:val="0"/>
              <w:spacing w:line="240" w:lineRule="exact"/>
              <w:jc w:val="left"/>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每发现一处扣3分。</w:t>
            </w:r>
          </w:p>
        </w:tc>
        <w:tc>
          <w:tcPr>
            <w:tcW w:w="655" w:type="dxa"/>
            <w:vAlign w:val="center"/>
          </w:tcPr>
          <w:p>
            <w:pPr>
              <w:widowControl/>
              <w:jc w:val="center"/>
              <w:rPr>
                <w:rFonts w:hint="eastAsia" w:cs="仿宋"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652" w:type="dxa"/>
            <w:gridSpan w:val="2"/>
            <w:tcBorders>
              <w:left w:val="single" w:color="auto" w:sz="4" w:space="0"/>
              <w:bottom w:val="single" w:color="auto" w:sz="4" w:space="0"/>
              <w:right w:val="single" w:color="auto" w:sz="4" w:space="0"/>
            </w:tcBorders>
            <w:vAlign w:val="center"/>
          </w:tcPr>
          <w:p>
            <w:pPr>
              <w:widowControl/>
              <w:jc w:val="center"/>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合计</w:t>
            </w:r>
          </w:p>
        </w:tc>
        <w:tc>
          <w:tcPr>
            <w:tcW w:w="750" w:type="dxa"/>
            <w:tcBorders>
              <w:left w:val="single" w:color="auto" w:sz="4" w:space="0"/>
              <w:bottom w:val="single" w:color="auto" w:sz="4" w:space="0"/>
              <w:right w:val="single" w:color="auto" w:sz="4" w:space="0"/>
            </w:tcBorders>
            <w:vAlign w:val="center"/>
          </w:tcPr>
          <w:p>
            <w:pPr>
              <w:widowControl/>
              <w:jc w:val="center"/>
              <w:rPr>
                <w:rFonts w:hint="eastAsia" w:cs="仿宋" w:asciiTheme="majorEastAsia" w:hAnsiTheme="majorEastAsia" w:eastAsiaTheme="majorEastAsia"/>
                <w:kern w:val="0"/>
                <w:szCs w:val="21"/>
              </w:rPr>
            </w:pPr>
            <w:r>
              <w:rPr>
                <w:rFonts w:hint="eastAsia" w:cs="仿宋" w:asciiTheme="majorEastAsia" w:hAnsiTheme="majorEastAsia" w:eastAsiaTheme="majorEastAsia"/>
                <w:kern w:val="0"/>
                <w:szCs w:val="21"/>
              </w:rPr>
              <w:t>100</w:t>
            </w:r>
          </w:p>
        </w:tc>
        <w:tc>
          <w:tcPr>
            <w:tcW w:w="5155" w:type="dxa"/>
            <w:gridSpan w:val="2"/>
            <w:tcBorders>
              <w:left w:val="single" w:color="auto" w:sz="4" w:space="0"/>
              <w:bottom w:val="single" w:color="auto" w:sz="4" w:space="0"/>
              <w:right w:val="single" w:color="auto" w:sz="4" w:space="0"/>
            </w:tcBorders>
            <w:vAlign w:val="center"/>
          </w:tcPr>
          <w:p>
            <w:pPr>
              <w:widowControl/>
              <w:jc w:val="center"/>
              <w:rPr>
                <w:rFonts w:hint="eastAsia" w:cs="仿宋"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557" w:type="dxa"/>
            <w:gridSpan w:val="5"/>
            <w:tcBorders>
              <w:top w:val="single" w:color="auto" w:sz="4" w:space="0"/>
              <w:left w:val="nil"/>
              <w:bottom w:val="nil"/>
              <w:right w:val="nil"/>
            </w:tcBorders>
            <w:vAlign w:val="center"/>
          </w:tcPr>
          <w:p>
            <w:pPr>
              <w:adjustRightInd w:val="0"/>
              <w:snapToGrid w:val="0"/>
              <w:spacing w:line="480" w:lineRule="exact"/>
              <w:rPr>
                <w:rFonts w:hint="eastAsia" w:cs="宋体" w:asciiTheme="majorEastAsia" w:hAnsiTheme="majorEastAsia" w:eastAsiaTheme="majorEastAsia"/>
                <w:kern w:val="0"/>
                <w:sz w:val="24"/>
              </w:rPr>
            </w:pPr>
            <w:r>
              <w:rPr>
                <w:rFonts w:hint="eastAsia" w:asciiTheme="majorEastAsia" w:hAnsiTheme="majorEastAsia" w:eastAsiaTheme="majorEastAsia"/>
                <w:kern w:val="0"/>
                <w:sz w:val="24"/>
              </w:rPr>
              <w:t xml:space="preserve">考核人签字：          </w:t>
            </w:r>
            <w:r>
              <w:rPr>
                <w:rFonts w:hint="eastAsia" w:cs="宋体" w:asciiTheme="majorEastAsia" w:hAnsiTheme="majorEastAsia" w:eastAsiaTheme="majorEastAsia"/>
                <w:kern w:val="0"/>
                <w:sz w:val="24"/>
              </w:rPr>
              <w:t>日期：</w:t>
            </w:r>
            <w:r>
              <w:rPr>
                <w:rFonts w:hint="eastAsia" w:asciiTheme="majorEastAsia" w:hAnsiTheme="majorEastAsia" w:eastAsiaTheme="majorEastAsia"/>
                <w:kern w:val="0"/>
                <w:sz w:val="24"/>
              </w:rPr>
              <w:t xml:space="preserve">             </w:t>
            </w:r>
            <w:r>
              <w:rPr>
                <w:rFonts w:hint="eastAsia" w:cs="宋体" w:asciiTheme="majorEastAsia" w:hAnsiTheme="majorEastAsia" w:eastAsiaTheme="majorEastAsia"/>
                <w:kern w:val="0"/>
                <w:sz w:val="24"/>
              </w:rPr>
              <w:t xml:space="preserve">被考核人签字：              日期：            </w:t>
            </w:r>
          </w:p>
          <w:p>
            <w:pPr>
              <w:widowControl/>
              <w:jc w:val="center"/>
              <w:rPr>
                <w:rFonts w:hint="eastAsia" w:asciiTheme="majorEastAsia" w:hAnsiTheme="majorEastAsia" w:eastAsiaTheme="majorEastAsia"/>
                <w:sz w:val="24"/>
              </w:rPr>
            </w:pPr>
          </w:p>
        </w:tc>
      </w:tr>
    </w:tbl>
    <w:p/>
    <w:p>
      <w:pPr>
        <w:snapToGrid w:val="0"/>
        <w:spacing w:line="480" w:lineRule="exact"/>
        <w:jc w:val="center"/>
        <w:rPr>
          <w:rFonts w:ascii="宋体" w:cs="宋体"/>
          <w:szCs w:val="44"/>
        </w:rPr>
      </w:pPr>
      <w:r>
        <w:rPr>
          <w:rFonts w:hint="eastAsia" w:ascii="宋体" w:hAnsi="宋体" w:cs="宋体"/>
          <w:b/>
          <w:bCs/>
          <w:w w:val="80"/>
          <w:kern w:val="44"/>
          <w:sz w:val="44"/>
          <w:szCs w:val="44"/>
        </w:rPr>
        <w:t xml:space="preserve">第六章  </w:t>
      </w:r>
      <w:r>
        <w:rPr>
          <w:rFonts w:ascii="宋体" w:hAnsi="宋体" w:cs="宋体"/>
          <w:szCs w:val="44"/>
        </w:rPr>
        <w:t xml:space="preserve">  </w:t>
      </w:r>
      <w:r>
        <w:rPr>
          <w:rFonts w:hint="eastAsia" w:ascii="宋体" w:hAnsi="宋体" w:cs="宋体"/>
          <w:b/>
          <w:bCs/>
          <w:w w:val="80"/>
          <w:kern w:val="44"/>
          <w:sz w:val="44"/>
          <w:szCs w:val="44"/>
        </w:rPr>
        <w:t>响应文件组成及格式</w:t>
      </w:r>
      <w:bookmarkEnd w:id="63"/>
    </w:p>
    <w:p>
      <w:pPr>
        <w:adjustRightInd w:val="0"/>
        <w:snapToGrid w:val="0"/>
        <w:spacing w:line="360" w:lineRule="auto"/>
        <w:ind w:firstLine="482" w:firstLineChars="200"/>
        <w:jc w:val="left"/>
        <w:rPr>
          <w:rFonts w:hint="eastAsia" w:ascii="宋体" w:hAnsi="宋体" w:cs="宋体"/>
          <w:b/>
          <w:bCs/>
          <w:sz w:val="24"/>
          <w:szCs w:val="24"/>
        </w:rPr>
      </w:pPr>
    </w:p>
    <w:p>
      <w:pPr>
        <w:adjustRightInd w:val="0"/>
        <w:snapToGrid w:val="0"/>
        <w:spacing w:line="360" w:lineRule="auto"/>
        <w:ind w:firstLine="482" w:firstLineChars="200"/>
        <w:jc w:val="left"/>
        <w:rPr>
          <w:rFonts w:ascii="宋体" w:cs="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adjustRightInd w:val="0"/>
        <w:snapToGrid w:val="0"/>
        <w:spacing w:line="360" w:lineRule="auto"/>
        <w:ind w:firstLine="482" w:firstLineChars="200"/>
        <w:jc w:val="left"/>
        <w:rPr>
          <w:rFonts w:ascii="宋体" w:cs="宋体"/>
          <w:b/>
          <w:bCs/>
          <w:sz w:val="24"/>
          <w:szCs w:val="24"/>
        </w:rPr>
      </w:pPr>
      <w:r>
        <w:rPr>
          <w:rFonts w:hint="eastAsia" w:ascii="宋体" w:hAnsi="宋体" w:cs="宋体"/>
          <w:b/>
          <w:bCs/>
          <w:sz w:val="24"/>
          <w:szCs w:val="24"/>
        </w:rPr>
        <w:t>一、资格审查文件（单独密封）：</w:t>
      </w:r>
    </w:p>
    <w:p>
      <w:pPr>
        <w:spacing w:line="360" w:lineRule="auto"/>
        <w:ind w:firstLine="480" w:firstLineChars="200"/>
        <w:rPr>
          <w:rFonts w:hint="eastAsia" w:ascii="宋体" w:hAnsi="宋体" w:cs="宋体"/>
          <w:bCs/>
          <w:color w:val="000000"/>
          <w:sz w:val="24"/>
          <w:szCs w:val="24"/>
        </w:rPr>
      </w:pPr>
      <w:r>
        <w:rPr>
          <w:rFonts w:ascii="宋体" w:hAnsi="宋体" w:cs="宋体"/>
          <w:color w:val="000000"/>
          <w:sz w:val="24"/>
          <w:szCs w:val="24"/>
        </w:rPr>
        <w:t>1</w:t>
      </w:r>
      <w:r>
        <w:rPr>
          <w:rFonts w:hint="eastAsia" w:ascii="宋体" w:hAnsi="宋体" w:cs="宋体"/>
          <w:bCs/>
          <w:color w:val="000000"/>
          <w:sz w:val="24"/>
          <w:szCs w:val="24"/>
        </w:rPr>
        <w:t>、</w:t>
      </w:r>
      <w:r>
        <w:rPr>
          <w:rFonts w:hint="eastAsia" w:ascii="宋体" w:hAnsi="宋体"/>
          <w:sz w:val="24"/>
          <w:szCs w:val="24"/>
        </w:rPr>
        <w:t>投标供应商需提供有效的法人或者其他组织的营业执照等证明文件的复印件。</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2</w:t>
      </w:r>
      <w:r>
        <w:rPr>
          <w:rFonts w:hint="eastAsia" w:ascii="宋体" w:hAnsi="宋体" w:cs="宋体"/>
          <w:bCs/>
          <w:color w:val="000000"/>
          <w:sz w:val="24"/>
          <w:szCs w:val="24"/>
        </w:rPr>
        <w:t>、供应商法定代表人参加磋商的，必须提供法定代表人身份证明及法定代表人本人身份证复印件；非法定代表人参加磋商的，必须提供法定代表人签字或盖章</w:t>
      </w:r>
      <w:r>
        <w:rPr>
          <w:rFonts w:hint="eastAsia" w:ascii="宋体" w:hAnsi="宋体" w:cs="宋体"/>
          <w:color w:val="000000"/>
          <w:sz w:val="24"/>
          <w:szCs w:val="24"/>
        </w:rPr>
        <w:t>的授权委托书及法定代表人、被授权人的两人身份证的复印件。（格式参见第六章）</w:t>
      </w:r>
    </w:p>
    <w:p>
      <w:pPr>
        <w:snapToGrid w:val="0"/>
        <w:spacing w:line="360" w:lineRule="auto"/>
        <w:ind w:firstLine="560"/>
        <w:rPr>
          <w:rFonts w:hint="eastAsia" w:ascii="宋体" w:hAnsi="宋体" w:cs="宋体"/>
          <w:sz w:val="24"/>
          <w:szCs w:val="24"/>
        </w:rPr>
      </w:pPr>
      <w:r>
        <w:rPr>
          <w:rFonts w:hint="eastAsia" w:ascii="宋体" w:hAnsi="宋体" w:cs="宋体"/>
          <w:sz w:val="24"/>
          <w:szCs w:val="24"/>
        </w:rPr>
        <w:t>3、</w:t>
      </w:r>
      <w:r>
        <w:rPr>
          <w:rFonts w:hint="eastAsia" w:ascii="宋体" w:hAnsi="宋体"/>
          <w:sz w:val="24"/>
          <w:szCs w:val="24"/>
        </w:rPr>
        <w:t>供应商符合本项目第一章 供应商的资格要求中“本项目的基本资格要求”规定条件的承诺函（格式</w:t>
      </w:r>
      <w:r>
        <w:rPr>
          <w:rFonts w:hint="eastAsia" w:ascii="Open Sans" w:hAnsi="Open Sans" w:cs="Arial"/>
          <w:kern w:val="0"/>
          <w:sz w:val="24"/>
          <w:szCs w:val="24"/>
        </w:rPr>
        <w:t>参见第六章</w:t>
      </w:r>
      <w:r>
        <w:rPr>
          <w:rFonts w:hint="eastAsia" w:ascii="宋体" w:hAnsi="宋体"/>
          <w:sz w:val="24"/>
          <w:szCs w:val="24"/>
        </w:rPr>
        <w:t>）</w:t>
      </w:r>
      <w:r>
        <w:rPr>
          <w:rFonts w:hint="eastAsia" w:ascii="宋体" w:hAnsi="宋体" w:cs="宋体"/>
          <w:sz w:val="24"/>
          <w:szCs w:val="24"/>
        </w:rPr>
        <w:t>。</w:t>
      </w:r>
    </w:p>
    <w:p>
      <w:pPr>
        <w:snapToGrid w:val="0"/>
        <w:spacing w:line="420" w:lineRule="exact"/>
        <w:ind w:firstLine="480" w:firstLineChars="200"/>
        <w:rPr>
          <w:rFonts w:hint="eastAsia" w:ascii="宋体" w:hAnsi="宋体"/>
          <w:bCs/>
          <w:sz w:val="24"/>
          <w:szCs w:val="24"/>
          <w:lang w:val="zh-CN"/>
        </w:rPr>
      </w:pPr>
      <w:r>
        <w:rPr>
          <w:rFonts w:hint="eastAsia" w:ascii="宋体" w:hAnsi="宋体" w:cs="宋体"/>
          <w:color w:val="000000"/>
          <w:sz w:val="24"/>
          <w:szCs w:val="24"/>
        </w:rPr>
        <w:t>4、</w:t>
      </w:r>
      <w:r>
        <w:rPr>
          <w:rFonts w:hint="eastAsia" w:ascii="宋体" w:hAnsi="宋体"/>
          <w:bCs/>
          <w:sz w:val="24"/>
          <w:szCs w:val="24"/>
          <w:lang w:val="zh-CN"/>
        </w:rPr>
        <w:t>拟派项目负责人的园林绿化职称证书及相关证明材料复印件（若职称证书不能显示园林绿化及相关专业的，须同时提供毕业证书及相关证明；工作年限证明（仅需初级职称的提供）格式自拟）。</w:t>
      </w:r>
    </w:p>
    <w:p>
      <w:pPr>
        <w:snapToGrid w:val="0"/>
        <w:spacing w:line="420" w:lineRule="exact"/>
        <w:ind w:firstLine="480" w:firstLineChars="200"/>
        <w:rPr>
          <w:rFonts w:hint="eastAsia" w:ascii="宋体" w:hAnsi="宋体"/>
          <w:bCs/>
          <w:sz w:val="24"/>
          <w:lang w:val="zh-CN"/>
        </w:rPr>
      </w:pPr>
      <w:r>
        <w:rPr>
          <w:rFonts w:hint="eastAsia" w:ascii="宋体" w:hAnsi="宋体"/>
          <w:bCs/>
          <w:sz w:val="24"/>
          <w:szCs w:val="24"/>
          <w:lang w:val="zh-CN"/>
        </w:rPr>
        <w:t>5、</w:t>
      </w:r>
      <w:r>
        <w:rPr>
          <w:rFonts w:hint="eastAsia" w:ascii="宋体" w:hAnsi="宋体" w:cs="宋体"/>
          <w:kern w:val="0"/>
          <w:sz w:val="24"/>
        </w:rPr>
        <w:t>拟派项目负责人</w:t>
      </w:r>
      <w:r>
        <w:rPr>
          <w:rFonts w:hint="eastAsia" w:ascii="宋体" w:hAnsi="宋体"/>
          <w:bCs/>
          <w:sz w:val="24"/>
          <w:lang w:val="zh-CN"/>
        </w:rPr>
        <w:t>必须为投标供应商正式人员，需提供与投标人签订的有效劳动合同复印件。</w:t>
      </w:r>
    </w:p>
    <w:p>
      <w:pPr>
        <w:snapToGrid w:val="0"/>
        <w:spacing w:line="420" w:lineRule="exact"/>
        <w:ind w:firstLine="480" w:firstLineChars="200"/>
        <w:rPr>
          <w:rFonts w:hint="eastAsia" w:ascii="宋体" w:hAnsi="宋体" w:cs="宋体"/>
          <w:color w:val="000000"/>
          <w:sz w:val="24"/>
          <w:szCs w:val="24"/>
        </w:rPr>
      </w:pPr>
      <w:r>
        <w:rPr>
          <w:rFonts w:hint="eastAsia" w:ascii="宋体" w:hAnsi="宋体" w:cs="宋体"/>
          <w:sz w:val="24"/>
          <w:szCs w:val="24"/>
        </w:rPr>
        <w:t>6、</w:t>
      </w:r>
      <w:r>
        <w:rPr>
          <w:rFonts w:hint="eastAsia" w:ascii="宋体" w:hAnsi="宋体" w:cs="宋体"/>
          <w:color w:val="000000"/>
          <w:sz w:val="24"/>
          <w:szCs w:val="24"/>
        </w:rPr>
        <w:t>供应商须提供资格文件声明函（原件）。（格式参见第六章）</w:t>
      </w:r>
    </w:p>
    <w:p>
      <w:pPr>
        <w:numPr>
          <w:ilvl w:val="0"/>
          <w:numId w:val="9"/>
        </w:numPr>
        <w:adjustRightInd w:val="0"/>
        <w:snapToGrid w:val="0"/>
        <w:spacing w:line="360" w:lineRule="auto"/>
        <w:ind w:firstLine="482" w:firstLineChars="200"/>
        <w:jc w:val="left"/>
        <w:rPr>
          <w:rFonts w:ascii="宋体" w:cs="宋体"/>
          <w:bCs/>
          <w:sz w:val="24"/>
          <w:szCs w:val="24"/>
        </w:rPr>
      </w:pPr>
      <w:r>
        <w:rPr>
          <w:rFonts w:hint="eastAsia" w:ascii="宋体" w:hAnsi="宋体" w:cs="宋体"/>
          <w:b/>
          <w:bCs/>
          <w:sz w:val="24"/>
          <w:szCs w:val="24"/>
        </w:rPr>
        <w:t>技术响应文件（单独密封）：</w:t>
      </w:r>
    </w:p>
    <w:p>
      <w:pPr>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、竞争性磋商响应函；（格式参见</w:t>
      </w:r>
      <w:r>
        <w:rPr>
          <w:rFonts w:hint="eastAsia" w:ascii="宋体" w:hAnsi="宋体" w:cs="宋体"/>
          <w:color w:val="000000"/>
          <w:sz w:val="24"/>
          <w:szCs w:val="24"/>
        </w:rPr>
        <w:t>第六章</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、供应商一般情况表；（格式参见</w:t>
      </w:r>
      <w:r>
        <w:rPr>
          <w:rFonts w:hint="eastAsia" w:ascii="宋体" w:hAnsi="宋体" w:cs="宋体"/>
          <w:color w:val="000000"/>
          <w:sz w:val="24"/>
          <w:szCs w:val="24"/>
        </w:rPr>
        <w:t>第六章</w:t>
      </w:r>
      <w:r>
        <w:rPr>
          <w:rFonts w:hint="eastAsia" w:ascii="宋体" w:hAnsi="宋体" w:cs="宋体"/>
          <w:sz w:val="24"/>
          <w:szCs w:val="24"/>
        </w:rPr>
        <w:t>）</w:t>
      </w:r>
    </w:p>
    <w:p>
      <w:pPr>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、评标办法中所涉及的事项需提供的所有资料；</w:t>
      </w:r>
    </w:p>
    <w:p>
      <w:pPr>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、评分办法中未涉及的事项，投标供应商认为需要提交的其他资料。</w:t>
      </w:r>
    </w:p>
    <w:p>
      <w:pPr>
        <w:snapToGrid w:val="0"/>
        <w:spacing w:line="360" w:lineRule="auto"/>
        <w:ind w:firstLine="480" w:firstLineChars="200"/>
        <w:rPr>
          <w:rFonts w:ascii="宋体" w:cs="宋体"/>
          <w:bCs/>
          <w:color w:val="000000"/>
          <w:sz w:val="24"/>
          <w:szCs w:val="24"/>
        </w:rPr>
      </w:pPr>
      <w:r>
        <w:rPr>
          <w:rFonts w:hint="eastAsia" w:ascii="宋体" w:hAnsi="宋体" w:cs="宋体"/>
          <w:color w:val="000000"/>
          <w:sz w:val="24"/>
          <w:szCs w:val="24"/>
        </w:rPr>
        <w:t>注：为方便评委评审，请投标供应商按评标办法中所涉及的事项顺序进行编制，可以补充相关材料；</w:t>
      </w:r>
    </w:p>
    <w:p>
      <w:pPr>
        <w:snapToGrid w:val="0"/>
        <w:spacing w:line="360" w:lineRule="auto"/>
        <w:ind w:firstLine="482" w:firstLineChars="200"/>
        <w:rPr>
          <w:rFonts w:ascii="宋体" w:cs="宋体"/>
          <w:b/>
          <w:sz w:val="24"/>
          <w:szCs w:val="24"/>
        </w:rPr>
      </w:pPr>
      <w:r>
        <w:rPr>
          <w:rFonts w:hint="eastAsia" w:ascii="宋体" w:hAnsi="宋体" w:cs="宋体"/>
          <w:b/>
          <w:bCs/>
          <w:color w:val="000000"/>
          <w:sz w:val="24"/>
          <w:szCs w:val="24"/>
        </w:rPr>
        <w:t>特别提醒：“资格审查文件”、“</w:t>
      </w:r>
      <w:r>
        <w:rPr>
          <w:rFonts w:hint="eastAsia" w:ascii="宋体" w:hAnsi="宋体" w:cs="宋体"/>
          <w:b/>
          <w:bCs/>
          <w:sz w:val="24"/>
          <w:szCs w:val="24"/>
        </w:rPr>
        <w:t>技术响应文件</w:t>
      </w:r>
      <w:r>
        <w:rPr>
          <w:rFonts w:hint="eastAsia" w:ascii="宋体" w:hAnsi="宋体" w:cs="宋体"/>
          <w:b/>
          <w:bCs/>
          <w:color w:val="000000"/>
          <w:sz w:val="24"/>
          <w:szCs w:val="24"/>
        </w:rPr>
        <w:t>”所须提供的材料（复印件须加盖投标供应商公章）按磋商文件要求装订，密封，递交。</w:t>
      </w:r>
    </w:p>
    <w:p>
      <w:pPr>
        <w:adjustRightInd w:val="0"/>
        <w:snapToGrid w:val="0"/>
        <w:spacing w:line="360" w:lineRule="auto"/>
        <w:ind w:firstLine="482" w:firstLineChars="200"/>
        <w:jc w:val="left"/>
        <w:rPr>
          <w:rFonts w:ascii="宋体" w:cs="宋体"/>
          <w:b/>
          <w:color w:val="000000"/>
          <w:sz w:val="24"/>
          <w:szCs w:val="24"/>
          <w:lang w:val="zh-CN"/>
        </w:rPr>
      </w:pPr>
      <w:r>
        <w:rPr>
          <w:rFonts w:hint="eastAsia" w:ascii="宋体" w:hAnsi="宋体" w:cs="宋体"/>
          <w:b/>
          <w:color w:val="000000"/>
          <w:sz w:val="24"/>
          <w:szCs w:val="24"/>
          <w:lang w:val="zh-CN"/>
        </w:rPr>
        <w:t>三、</w:t>
      </w:r>
      <w:r>
        <w:rPr>
          <w:rFonts w:hint="eastAsia" w:ascii="宋体" w:hAnsi="宋体" w:cs="宋体"/>
          <w:b/>
          <w:bCs/>
          <w:sz w:val="24"/>
          <w:szCs w:val="24"/>
        </w:rPr>
        <w:t>商务报价响应文件</w:t>
      </w:r>
      <w:r>
        <w:rPr>
          <w:rFonts w:hint="eastAsia" w:ascii="宋体" w:hAnsi="宋体" w:cs="宋体"/>
          <w:b/>
          <w:color w:val="000000"/>
          <w:sz w:val="24"/>
          <w:szCs w:val="24"/>
          <w:lang w:val="zh-CN"/>
        </w:rPr>
        <w:t>（单独装订密封）</w:t>
      </w:r>
    </w:p>
    <w:p>
      <w:pPr>
        <w:adjustRightInd w:val="0"/>
        <w:snapToGrid w:val="0"/>
        <w:spacing w:line="360" w:lineRule="auto"/>
        <w:ind w:firstLine="480" w:firstLineChars="200"/>
        <w:jc w:val="left"/>
        <w:rPr>
          <w:rFonts w:ascii="宋体" w:cs="宋体"/>
          <w:bCs/>
          <w:color w:val="000000"/>
          <w:sz w:val="24"/>
          <w:szCs w:val="24"/>
          <w:lang w:val="zh-CN"/>
        </w:rPr>
      </w:pPr>
      <w:r>
        <w:rPr>
          <w:rFonts w:ascii="宋体" w:hAnsi="宋体" w:cs="宋体"/>
          <w:bCs/>
          <w:color w:val="000000"/>
          <w:sz w:val="24"/>
          <w:szCs w:val="24"/>
          <w:lang w:val="zh-CN"/>
        </w:rPr>
        <w:t>1</w:t>
      </w:r>
      <w:r>
        <w:rPr>
          <w:rFonts w:hint="eastAsia" w:ascii="宋体" w:hAnsi="宋体" w:cs="宋体"/>
          <w:bCs/>
          <w:color w:val="000000"/>
          <w:sz w:val="24"/>
          <w:szCs w:val="24"/>
          <w:lang w:val="zh-CN"/>
        </w:rPr>
        <w:t>、</w:t>
      </w:r>
      <w:r>
        <w:rPr>
          <w:rFonts w:hint="eastAsia" w:ascii="宋体" w:hAnsi="宋体" w:cs="宋体"/>
          <w:sz w:val="24"/>
          <w:szCs w:val="24"/>
        </w:rPr>
        <w:t>磋商响应报价总表（格式参见</w:t>
      </w:r>
      <w:r>
        <w:rPr>
          <w:rFonts w:hint="eastAsia" w:ascii="宋体" w:hAnsi="宋体" w:cs="宋体"/>
          <w:color w:val="000000"/>
          <w:sz w:val="24"/>
          <w:szCs w:val="24"/>
        </w:rPr>
        <w:t>第六章</w:t>
      </w:r>
      <w:r>
        <w:rPr>
          <w:rFonts w:hint="eastAsia" w:ascii="宋体" w:hAnsi="宋体" w:cs="宋体"/>
          <w:sz w:val="24"/>
          <w:szCs w:val="24"/>
        </w:rPr>
        <w:t>）；</w:t>
      </w:r>
    </w:p>
    <w:p>
      <w:pPr>
        <w:adjustRightInd w:val="0"/>
        <w:snapToGrid w:val="0"/>
        <w:spacing w:line="360" w:lineRule="auto"/>
        <w:ind w:firstLine="480" w:firstLineChars="200"/>
        <w:jc w:val="left"/>
        <w:rPr>
          <w:rFonts w:hint="eastAsia" w:ascii="宋体" w:hAnsi="宋体" w:cs="宋体"/>
          <w:sz w:val="24"/>
          <w:szCs w:val="24"/>
        </w:rPr>
      </w:pPr>
      <w:r>
        <w:rPr>
          <w:rFonts w:ascii="宋体" w:hAnsi="宋体" w:cs="宋体"/>
          <w:bCs/>
          <w:color w:val="000000"/>
          <w:sz w:val="24"/>
          <w:szCs w:val="24"/>
          <w:lang w:val="zh-CN"/>
        </w:rPr>
        <w:t>2</w:t>
      </w:r>
      <w:r>
        <w:rPr>
          <w:rFonts w:hint="eastAsia" w:ascii="宋体" w:hAnsi="宋体" w:cs="宋体"/>
          <w:bCs/>
          <w:color w:val="000000"/>
          <w:sz w:val="24"/>
          <w:szCs w:val="24"/>
          <w:lang w:val="zh-CN"/>
        </w:rPr>
        <w:t>、</w:t>
      </w:r>
      <w:r>
        <w:rPr>
          <w:rFonts w:hint="eastAsia" w:ascii="宋体" w:hAnsi="宋体" w:cs="宋体"/>
          <w:sz w:val="24"/>
          <w:szCs w:val="24"/>
        </w:rPr>
        <w:t>磋商响应报价明细表（格式参见</w:t>
      </w:r>
      <w:r>
        <w:rPr>
          <w:rFonts w:hint="eastAsia" w:ascii="宋体" w:hAnsi="宋体" w:cs="宋体"/>
          <w:color w:val="000000"/>
          <w:sz w:val="24"/>
          <w:szCs w:val="24"/>
        </w:rPr>
        <w:t>第六章</w:t>
      </w:r>
      <w:r>
        <w:rPr>
          <w:rFonts w:hint="eastAsia" w:ascii="宋体" w:hAnsi="宋体" w:cs="宋体"/>
          <w:sz w:val="24"/>
          <w:szCs w:val="24"/>
        </w:rPr>
        <w:t>）。</w:t>
      </w:r>
    </w:p>
    <w:p>
      <w:pPr>
        <w:adjustRightInd w:val="0"/>
        <w:snapToGrid w:val="0"/>
        <w:spacing w:line="360" w:lineRule="auto"/>
        <w:ind w:firstLine="480" w:firstLineChars="200"/>
        <w:jc w:val="left"/>
        <w:rPr>
          <w:rFonts w:hint="eastAsia" w:ascii="宋体" w:hAnsi="宋体" w:cs="宋体"/>
          <w:sz w:val="24"/>
          <w:szCs w:val="24"/>
        </w:rPr>
      </w:pPr>
    </w:p>
    <w:p>
      <w:pPr>
        <w:snapToGrid w:val="0"/>
        <w:spacing w:line="520" w:lineRule="exact"/>
        <w:ind w:firstLine="562" w:firstLineChars="200"/>
        <w:rPr>
          <w:rFonts w:ascii="宋体" w:cs="宋体"/>
          <w:b/>
          <w:bCs/>
          <w:color w:val="000000"/>
          <w:sz w:val="28"/>
          <w:szCs w:val="28"/>
        </w:rPr>
      </w:pPr>
      <w:r>
        <w:rPr>
          <w:rFonts w:hint="eastAsia" w:ascii="宋体" w:hAnsi="宋体" w:cs="宋体"/>
          <w:b/>
          <w:color w:val="000000"/>
          <w:sz w:val="28"/>
          <w:szCs w:val="28"/>
        </w:rPr>
        <w:t>附件：</w:t>
      </w:r>
    </w:p>
    <w:p>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1</w:t>
      </w:r>
      <w:r>
        <w:rPr>
          <w:rFonts w:hint="eastAsia" w:ascii="宋体" w:hAnsi="宋体" w:cs="宋体"/>
          <w:b/>
          <w:color w:val="000000"/>
          <w:sz w:val="28"/>
          <w:szCs w:val="28"/>
        </w:rPr>
        <w:t>、法定代表人身份证明</w:t>
      </w:r>
    </w:p>
    <w:p>
      <w:pPr>
        <w:snapToGrid w:val="0"/>
        <w:spacing w:line="520" w:lineRule="exact"/>
        <w:jc w:val="center"/>
        <w:rPr>
          <w:rFonts w:ascii="宋体" w:cs="宋体"/>
          <w:color w:val="000000"/>
          <w:sz w:val="24"/>
          <w:szCs w:val="24"/>
        </w:rPr>
      </w:pPr>
      <w:r>
        <w:rPr>
          <w:rFonts w:hint="eastAsia" w:ascii="宋体" w:hAnsi="宋体" w:cs="宋体"/>
          <w:color w:val="000000"/>
          <w:sz w:val="24"/>
          <w:szCs w:val="24"/>
        </w:rPr>
        <w:t>（如法定代表人参加磋商，须出示此证明）</w:t>
      </w:r>
    </w:p>
    <w:p>
      <w:pPr>
        <w:snapToGrid w:val="0"/>
        <w:spacing w:line="520" w:lineRule="exact"/>
        <w:jc w:val="center"/>
        <w:rPr>
          <w:rFonts w:ascii="宋体" w:cs="宋体"/>
          <w:color w:val="000000"/>
          <w:sz w:val="24"/>
          <w:szCs w:val="24"/>
        </w:rPr>
      </w:pPr>
    </w:p>
    <w:p>
      <w:pPr>
        <w:snapToGrid w:val="0"/>
        <w:spacing w:line="520" w:lineRule="exact"/>
        <w:jc w:val="left"/>
        <w:rPr>
          <w:rFonts w:ascii="宋体" w:cs="宋体"/>
          <w:color w:val="000000"/>
          <w:sz w:val="24"/>
          <w:szCs w:val="24"/>
          <w:u w:val="single"/>
        </w:rPr>
      </w:pPr>
      <w:r>
        <w:rPr>
          <w:rFonts w:hint="eastAsia" w:ascii="宋体" w:hAnsi="宋体" w:cs="宋体"/>
          <w:sz w:val="24"/>
          <w:szCs w:val="24"/>
          <w:u w:val="single"/>
        </w:rPr>
        <w:t>南通市文化馆</w:t>
      </w:r>
      <w:r>
        <w:rPr>
          <w:rFonts w:ascii="宋体" w:hAnsi="宋体" w:cs="宋体"/>
          <w:color w:val="000000"/>
          <w:sz w:val="24"/>
          <w:szCs w:val="24"/>
          <w:u w:val="single"/>
        </w:rPr>
        <w:t>:</w:t>
      </w:r>
    </w:p>
    <w:p>
      <w:pPr>
        <w:snapToGrid w:val="0"/>
        <w:spacing w:line="520" w:lineRule="exact"/>
        <w:ind w:firstLine="480" w:firstLineChars="200"/>
        <w:rPr>
          <w:rFonts w:ascii="宋体" w:cs="宋体"/>
          <w:color w:val="000000"/>
          <w:sz w:val="24"/>
          <w:szCs w:val="24"/>
        </w:rPr>
      </w:pPr>
      <w:r>
        <w:rPr>
          <w:rFonts w:hint="eastAsia" w:ascii="宋体" w:hAnsi="宋体" w:cs="宋体"/>
          <w:color w:val="000000"/>
          <w:sz w:val="24"/>
          <w:szCs w:val="24"/>
        </w:rPr>
        <w:t>我公司法定代表人</w:t>
      </w:r>
      <w:r>
        <w:rPr>
          <w:rFonts w:ascii="宋体" w:hAnsi="宋体" w:cs="宋体"/>
          <w:color w:val="000000"/>
          <w:sz w:val="24"/>
          <w:szCs w:val="24"/>
          <w:u w:val="single"/>
        </w:rPr>
        <w:t xml:space="preserve">         </w:t>
      </w:r>
      <w:r>
        <w:rPr>
          <w:rFonts w:hint="eastAsia" w:ascii="宋体" w:hAnsi="宋体" w:cs="宋体"/>
          <w:color w:val="000000"/>
          <w:sz w:val="24"/>
          <w:szCs w:val="24"/>
        </w:rPr>
        <w:t>参加贵单位组织的</w:t>
      </w:r>
      <w:r>
        <w:rPr>
          <w:rFonts w:ascii="宋体" w:hAnsi="宋体" w:cs="宋体"/>
          <w:color w:val="000000"/>
          <w:sz w:val="24"/>
          <w:szCs w:val="24"/>
          <w:u w:val="single"/>
        </w:rPr>
        <w:t xml:space="preserve">            </w:t>
      </w:r>
      <w:r>
        <w:rPr>
          <w:rFonts w:hint="eastAsia" w:ascii="宋体" w:hAnsi="宋体" w:cs="宋体"/>
          <w:color w:val="000000"/>
          <w:sz w:val="24"/>
          <w:szCs w:val="24"/>
        </w:rPr>
        <w:t>（竞争性磋商项目名称</w:t>
      </w:r>
      <w:r>
        <w:rPr>
          <w:rFonts w:ascii="宋体" w:hAnsi="宋体" w:cs="宋体"/>
          <w:color w:val="000000"/>
          <w:sz w:val="24"/>
          <w:szCs w:val="24"/>
        </w:rPr>
        <w:t>)</w:t>
      </w:r>
      <w:r>
        <w:rPr>
          <w:rFonts w:hint="eastAsia" w:ascii="宋体" w:hAnsi="宋体" w:cs="宋体"/>
          <w:color w:val="000000"/>
          <w:sz w:val="24"/>
          <w:szCs w:val="24"/>
        </w:rPr>
        <w:t>项目的磋商活动，全权代表我公司处理竞争性磋商的有关事宜。</w:t>
      </w:r>
    </w:p>
    <w:p>
      <w:pPr>
        <w:snapToGrid w:val="0"/>
        <w:spacing w:line="520" w:lineRule="exact"/>
        <w:rPr>
          <w:rFonts w:ascii="宋体" w:cs="宋体"/>
          <w:color w:val="000000"/>
          <w:sz w:val="24"/>
          <w:szCs w:val="24"/>
        </w:rPr>
      </w:pPr>
    </w:p>
    <w:p>
      <w:pPr>
        <w:snapToGrid w:val="0"/>
        <w:spacing w:line="520" w:lineRule="exact"/>
        <w:rPr>
          <w:rFonts w:ascii="宋体" w:cs="宋体"/>
          <w:color w:val="000000"/>
          <w:sz w:val="24"/>
          <w:szCs w:val="24"/>
        </w:rPr>
      </w:pPr>
      <w:r>
        <w:rPr>
          <w:rFonts w:hint="eastAsia" w:ascii="宋体" w:hAnsi="宋体" w:cs="宋体"/>
          <w:color w:val="000000"/>
          <w:sz w:val="24"/>
          <w:szCs w:val="24"/>
        </w:rPr>
        <w:t>附：法定代表人情况：</w:t>
      </w:r>
    </w:p>
    <w:p>
      <w:pPr>
        <w:snapToGrid w:val="0"/>
        <w:spacing w:line="520" w:lineRule="exact"/>
        <w:rPr>
          <w:rFonts w:ascii="宋体" w:cs="宋体"/>
          <w:color w:val="000000"/>
          <w:sz w:val="24"/>
          <w:szCs w:val="24"/>
          <w:u w:val="single"/>
        </w:rPr>
      </w:pPr>
      <w:r>
        <w:rPr>
          <w:rFonts w:hint="eastAsia" w:ascii="宋体" w:hAnsi="宋体" w:cs="宋体"/>
          <w:color w:val="000000"/>
          <w:sz w:val="24"/>
          <w:szCs w:val="24"/>
        </w:rPr>
        <w:t>姓名：</w:t>
      </w:r>
      <w:r>
        <w:rPr>
          <w:rFonts w:ascii="宋体" w:hAnsi="宋体" w:cs="宋体"/>
          <w:color w:val="000000"/>
          <w:sz w:val="24"/>
          <w:szCs w:val="24"/>
          <w:u w:val="single"/>
        </w:rPr>
        <w:t xml:space="preserve">         </w:t>
      </w:r>
      <w:r>
        <w:rPr>
          <w:rFonts w:hint="eastAsia" w:ascii="宋体" w:hAnsi="宋体" w:cs="宋体"/>
          <w:color w:val="000000"/>
          <w:sz w:val="24"/>
          <w:szCs w:val="24"/>
        </w:rPr>
        <w:t>性别：</w:t>
      </w:r>
      <w:r>
        <w:rPr>
          <w:rFonts w:ascii="宋体" w:hAnsi="宋体" w:cs="宋体"/>
          <w:color w:val="000000"/>
          <w:sz w:val="24"/>
          <w:szCs w:val="24"/>
          <w:u w:val="single"/>
        </w:rPr>
        <w:t xml:space="preserve">       </w:t>
      </w:r>
      <w:r>
        <w:rPr>
          <w:rFonts w:hint="eastAsia" w:ascii="宋体" w:hAnsi="宋体" w:cs="宋体"/>
          <w:color w:val="000000"/>
          <w:sz w:val="24"/>
          <w:szCs w:val="24"/>
        </w:rPr>
        <w:t>年龄：</w:t>
      </w:r>
      <w:r>
        <w:rPr>
          <w:rFonts w:ascii="宋体" w:hAnsi="宋体" w:cs="宋体"/>
          <w:color w:val="000000"/>
          <w:sz w:val="24"/>
          <w:szCs w:val="24"/>
          <w:u w:val="single"/>
        </w:rPr>
        <w:t xml:space="preserve">      </w:t>
      </w:r>
      <w:r>
        <w:rPr>
          <w:rFonts w:hint="eastAsia" w:ascii="宋体" w:hAnsi="宋体" w:cs="宋体"/>
          <w:color w:val="000000"/>
          <w:sz w:val="24"/>
          <w:szCs w:val="24"/>
        </w:rPr>
        <w:t>职务：</w:t>
      </w:r>
      <w:r>
        <w:rPr>
          <w:rFonts w:ascii="宋体" w:hAnsi="宋体" w:cs="宋体"/>
          <w:color w:val="000000"/>
          <w:sz w:val="24"/>
          <w:szCs w:val="24"/>
          <w:u w:val="single"/>
        </w:rPr>
        <w:t xml:space="preserve">          </w:t>
      </w:r>
    </w:p>
    <w:p>
      <w:pPr>
        <w:snapToGrid w:val="0"/>
        <w:spacing w:line="520" w:lineRule="exact"/>
        <w:rPr>
          <w:rFonts w:ascii="宋体" w:cs="宋体"/>
          <w:color w:val="000000"/>
          <w:sz w:val="24"/>
          <w:szCs w:val="24"/>
        </w:rPr>
      </w:pPr>
      <w:r>
        <w:rPr>
          <w:rFonts w:hint="eastAsia" w:ascii="宋体" w:hAnsi="宋体" w:cs="宋体"/>
          <w:color w:val="000000"/>
          <w:sz w:val="24"/>
          <w:szCs w:val="24"/>
        </w:rPr>
        <w:t>身份证号码：</w:t>
      </w:r>
      <w:r>
        <w:rPr>
          <w:rFonts w:ascii="宋体" w:hAnsi="宋体" w:cs="宋体"/>
          <w:color w:val="000000"/>
          <w:sz w:val="24"/>
          <w:szCs w:val="24"/>
          <w:u w:val="single"/>
        </w:rPr>
        <w:t xml:space="preserve">                       </w:t>
      </w:r>
    </w:p>
    <w:p>
      <w:pPr>
        <w:snapToGrid w:val="0"/>
        <w:spacing w:line="520" w:lineRule="exact"/>
        <w:rPr>
          <w:rFonts w:ascii="宋体" w:cs="宋体"/>
          <w:color w:val="000000"/>
          <w:sz w:val="24"/>
          <w:szCs w:val="24"/>
        </w:rPr>
      </w:pPr>
      <w:r>
        <w:rPr>
          <w:rFonts w:hint="eastAsia" w:ascii="宋体" w:hAnsi="宋体" w:cs="宋体"/>
          <w:color w:val="000000"/>
          <w:sz w:val="24"/>
          <w:szCs w:val="24"/>
        </w:rPr>
        <w:t>手机：</w:t>
      </w:r>
      <w:r>
        <w:rPr>
          <w:rFonts w:ascii="宋体" w:hAnsi="宋体" w:cs="宋体"/>
          <w:color w:val="000000"/>
          <w:sz w:val="24"/>
          <w:szCs w:val="24"/>
          <w:u w:val="single"/>
        </w:rPr>
        <w:t xml:space="preserve">                  </w:t>
      </w:r>
      <w:r>
        <w:rPr>
          <w:rFonts w:hint="eastAsia" w:ascii="宋体" w:hAnsi="宋体" w:cs="宋体"/>
          <w:color w:val="000000"/>
          <w:sz w:val="24"/>
          <w:szCs w:val="24"/>
        </w:rPr>
        <w:t>传真：</w:t>
      </w:r>
      <w:r>
        <w:rPr>
          <w:rFonts w:ascii="宋体" w:hAnsi="宋体" w:cs="宋体"/>
          <w:color w:val="000000"/>
          <w:sz w:val="24"/>
          <w:szCs w:val="24"/>
          <w:u w:val="single"/>
        </w:rPr>
        <w:t xml:space="preserve">               </w:t>
      </w:r>
    </w:p>
    <w:p>
      <w:pPr>
        <w:snapToGrid w:val="0"/>
        <w:spacing w:line="520" w:lineRule="exact"/>
        <w:rPr>
          <w:rFonts w:ascii="宋体" w:cs="宋体"/>
          <w:color w:val="000000"/>
          <w:sz w:val="24"/>
          <w:szCs w:val="24"/>
        </w:rPr>
      </w:pPr>
    </w:p>
    <w:p>
      <w:pPr>
        <w:snapToGrid w:val="0"/>
        <w:spacing w:line="520" w:lineRule="exact"/>
        <w:rPr>
          <w:rFonts w:ascii="宋体" w:cs="宋体"/>
          <w:color w:val="000000"/>
          <w:sz w:val="24"/>
          <w:szCs w:val="24"/>
        </w:rPr>
      </w:pPr>
      <w:r>
        <w:rPr>
          <w:rFonts w:hint="eastAsia" w:ascii="宋体" w:hAnsi="宋体" w:cs="宋体"/>
          <w:color w:val="000000"/>
          <w:sz w:val="24"/>
          <w:szCs w:val="24"/>
        </w:rPr>
        <w:t>单位名称（公章）</w:t>
      </w:r>
      <w:r>
        <w:rPr>
          <w:rFonts w:ascii="宋体" w:hAnsi="宋体" w:cs="宋体"/>
          <w:color w:val="000000"/>
          <w:sz w:val="24"/>
          <w:szCs w:val="24"/>
        </w:rPr>
        <w:t xml:space="preserve">             </w:t>
      </w:r>
      <w:r>
        <w:rPr>
          <w:rFonts w:hint="eastAsia" w:ascii="宋体" w:hAnsi="宋体" w:cs="宋体"/>
          <w:color w:val="000000"/>
          <w:sz w:val="24"/>
          <w:szCs w:val="24"/>
        </w:rPr>
        <w:t>法定代表人（签字或盖章）</w:t>
      </w:r>
    </w:p>
    <w:p>
      <w:pPr>
        <w:snapToGrid w:val="0"/>
        <w:spacing w:line="520" w:lineRule="exact"/>
        <w:ind w:firstLine="1200" w:firstLineChars="500"/>
        <w:rPr>
          <w:rFonts w:ascii="宋体" w:cs="宋体"/>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r>
        <w:rPr>
          <w:rFonts w:ascii="宋体" w:hAnsi="宋体" w:cs="宋体"/>
          <w:color w:val="000000"/>
          <w:sz w:val="24"/>
          <w:szCs w:val="24"/>
        </w:rPr>
        <w:t xml:space="preserve">  </w:t>
      </w:r>
    </w:p>
    <w:p>
      <w:pPr>
        <w:snapToGrid w:val="0"/>
        <w:spacing w:line="520" w:lineRule="exact"/>
        <w:rPr>
          <w:rFonts w:ascii="宋体" w:cs="宋体"/>
          <w:color w:val="000000"/>
          <w:sz w:val="24"/>
          <w:szCs w:val="24"/>
        </w:rPr>
      </w:pPr>
    </w:p>
    <w:p>
      <w:pPr>
        <w:snapToGrid w:val="0"/>
        <w:spacing w:line="520" w:lineRule="exact"/>
        <w:rPr>
          <w:rFonts w:ascii="宋体" w:cs="宋体"/>
          <w:color w:val="000000"/>
          <w:sz w:val="24"/>
          <w:szCs w:val="24"/>
        </w:rPr>
      </w:pPr>
      <w:r>
        <w:rPr>
          <w:rFonts w:hint="eastAsia" w:ascii="宋体" w:hAnsi="宋体" w:cs="宋体"/>
          <w:color w:val="000000"/>
          <w:sz w:val="24"/>
          <w:szCs w:val="24"/>
        </w:rPr>
        <w:t>法定代表人身份证复印件</w:t>
      </w:r>
    </w:p>
    <w:p>
      <w:pPr>
        <w:snapToGrid w:val="0"/>
        <w:spacing w:line="520" w:lineRule="exact"/>
        <w:rPr>
          <w:rFonts w:ascii="宋体" w:cs="宋体"/>
          <w:color w:val="000000"/>
          <w:sz w:val="24"/>
          <w:szCs w:val="24"/>
        </w:rPr>
      </w:pPr>
    </w:p>
    <w:p>
      <w:pPr>
        <w:snapToGrid w:val="0"/>
        <w:spacing w:line="520" w:lineRule="exact"/>
        <w:ind w:firstLine="2280" w:firstLineChars="950"/>
        <w:rPr>
          <w:rFonts w:ascii="宋体" w:cs="宋体"/>
          <w:color w:val="000000"/>
          <w:sz w:val="24"/>
          <w:szCs w:val="24"/>
        </w:rPr>
      </w:pPr>
      <w:r>
        <w:rPr>
          <w:rFonts w:hint="eastAsia" w:ascii="宋体" w:hAnsi="宋体" w:cs="宋体"/>
          <w:color w:val="000000"/>
          <w:sz w:val="24"/>
          <w:szCs w:val="24"/>
        </w:rPr>
        <w:t>（粘贴此处）</w:t>
      </w:r>
    </w:p>
    <w:p>
      <w:pPr>
        <w:snapToGrid w:val="0"/>
        <w:spacing w:line="520" w:lineRule="exact"/>
        <w:ind w:firstLine="482" w:firstLineChars="200"/>
        <w:rPr>
          <w:rFonts w:ascii="宋体" w:cs="宋体"/>
          <w:b/>
          <w:bCs/>
          <w:color w:val="000000"/>
          <w:sz w:val="24"/>
          <w:szCs w:val="24"/>
        </w:rPr>
      </w:pPr>
      <w:r>
        <w:rPr>
          <w:rFonts w:hint="eastAsia" w:ascii="宋体" w:hAnsi="宋体" w:cs="宋体"/>
          <w:b/>
          <w:bCs/>
          <w:color w:val="000000"/>
          <w:sz w:val="24"/>
          <w:szCs w:val="24"/>
        </w:rPr>
        <w:t>注</w:t>
      </w:r>
      <w:r>
        <w:rPr>
          <w:rFonts w:ascii="宋体" w:hAnsi="宋体" w:cs="宋体"/>
          <w:b/>
          <w:bCs/>
          <w:color w:val="000000"/>
          <w:sz w:val="24"/>
          <w:szCs w:val="24"/>
        </w:rPr>
        <w:t>:</w:t>
      </w:r>
      <w:r>
        <w:rPr>
          <w:rFonts w:hint="eastAsia" w:ascii="宋体" w:hAnsi="宋体" w:cs="宋体"/>
          <w:b/>
          <w:bCs/>
          <w:color w:val="000000"/>
          <w:sz w:val="24"/>
          <w:szCs w:val="24"/>
        </w:rPr>
        <w:t>参加磋商时法定代表人将身份证原件带至磋商现场备查</w:t>
      </w:r>
      <w:r>
        <w:rPr>
          <w:rFonts w:hint="eastAsia" w:ascii="宋体" w:hAnsi="宋体" w:cs="宋体"/>
          <w:b/>
          <w:bCs/>
          <w:sz w:val="24"/>
          <w:szCs w:val="24"/>
        </w:rPr>
        <w:t>。</w:t>
      </w:r>
    </w:p>
    <w:p>
      <w:pPr>
        <w:snapToGrid w:val="0"/>
        <w:spacing w:line="520" w:lineRule="exact"/>
        <w:ind w:firstLine="482" w:firstLineChars="200"/>
        <w:rPr>
          <w:rFonts w:ascii="宋体" w:cs="宋体"/>
          <w:b/>
          <w:bCs/>
          <w:color w:val="000000"/>
          <w:sz w:val="24"/>
          <w:szCs w:val="24"/>
        </w:rPr>
      </w:pPr>
      <w:r>
        <w:rPr>
          <w:rFonts w:ascii="宋体" w:cs="宋体"/>
          <w:b/>
          <w:color w:val="000000"/>
          <w:sz w:val="24"/>
          <w:szCs w:val="24"/>
        </w:rPr>
        <w:br w:type="page"/>
      </w:r>
    </w:p>
    <w:p>
      <w:pPr>
        <w:snapToGrid w:val="0"/>
        <w:spacing w:line="520" w:lineRule="exact"/>
        <w:jc w:val="center"/>
        <w:outlineLvl w:val="3"/>
        <w:rPr>
          <w:rFonts w:ascii="宋体" w:cs="宋体"/>
          <w:b/>
          <w:color w:val="000000"/>
          <w:sz w:val="28"/>
          <w:szCs w:val="28"/>
        </w:rPr>
      </w:pPr>
      <w:r>
        <w:rPr>
          <w:rFonts w:ascii="宋体" w:hAnsi="宋体" w:cs="宋体"/>
          <w:b/>
          <w:color w:val="000000"/>
          <w:sz w:val="28"/>
          <w:szCs w:val="28"/>
        </w:rPr>
        <w:t>2</w:t>
      </w:r>
      <w:r>
        <w:rPr>
          <w:rFonts w:hint="eastAsia" w:ascii="宋体" w:hAnsi="宋体" w:cs="宋体"/>
          <w:b/>
          <w:color w:val="000000"/>
          <w:sz w:val="28"/>
          <w:szCs w:val="28"/>
        </w:rPr>
        <w:t>、授权委托书</w:t>
      </w:r>
    </w:p>
    <w:p>
      <w:pPr>
        <w:snapToGrid w:val="0"/>
        <w:spacing w:line="520" w:lineRule="exact"/>
        <w:jc w:val="center"/>
        <w:rPr>
          <w:rFonts w:ascii="宋体" w:cs="宋体"/>
          <w:bCs/>
          <w:color w:val="000000"/>
          <w:sz w:val="24"/>
          <w:szCs w:val="24"/>
        </w:rPr>
      </w:pPr>
      <w:r>
        <w:rPr>
          <w:rFonts w:hint="eastAsia" w:ascii="宋体" w:hAnsi="宋体" w:cs="宋体"/>
          <w:bCs/>
          <w:color w:val="000000"/>
          <w:sz w:val="24"/>
          <w:szCs w:val="24"/>
        </w:rPr>
        <w:t>（如被授权人参加磋商，须出示此证明）</w:t>
      </w:r>
    </w:p>
    <w:p>
      <w:pPr>
        <w:snapToGrid w:val="0"/>
        <w:spacing w:line="520" w:lineRule="exact"/>
        <w:jc w:val="center"/>
        <w:rPr>
          <w:rFonts w:ascii="宋体" w:cs="宋体"/>
          <w:bCs/>
          <w:color w:val="000000"/>
          <w:sz w:val="24"/>
          <w:szCs w:val="24"/>
        </w:rPr>
      </w:pPr>
    </w:p>
    <w:p>
      <w:pPr>
        <w:snapToGrid w:val="0"/>
        <w:spacing w:line="520" w:lineRule="exact"/>
        <w:jc w:val="left"/>
        <w:rPr>
          <w:rFonts w:ascii="宋体" w:cs="宋体"/>
          <w:color w:val="000000"/>
          <w:sz w:val="24"/>
          <w:szCs w:val="24"/>
          <w:u w:val="single"/>
        </w:rPr>
      </w:pPr>
      <w:r>
        <w:rPr>
          <w:rFonts w:hint="eastAsia" w:ascii="宋体" w:hAnsi="宋体" w:cs="宋体"/>
          <w:sz w:val="24"/>
          <w:szCs w:val="24"/>
          <w:u w:val="single"/>
        </w:rPr>
        <w:t>南通市文化馆</w:t>
      </w:r>
      <w:r>
        <w:rPr>
          <w:rFonts w:ascii="宋体" w:hAnsi="宋体" w:cs="宋体"/>
          <w:color w:val="000000"/>
          <w:sz w:val="24"/>
          <w:szCs w:val="24"/>
          <w:u w:val="single"/>
        </w:rPr>
        <w:t>:</w:t>
      </w:r>
    </w:p>
    <w:p>
      <w:pPr>
        <w:snapToGrid w:val="0"/>
        <w:spacing w:line="480" w:lineRule="exact"/>
        <w:ind w:firstLine="480" w:firstLineChars="200"/>
        <w:rPr>
          <w:rFonts w:hint="eastAsia" w:hAnsi="宋体" w:cs="宋体"/>
          <w:sz w:val="24"/>
          <w:szCs w:val="24"/>
        </w:rPr>
      </w:pPr>
      <w:r>
        <w:rPr>
          <w:rFonts w:hint="eastAsia" w:hAnsi="宋体" w:cs="宋体"/>
          <w:sz w:val="24"/>
          <w:szCs w:val="24"/>
        </w:rPr>
        <w:t>兹授权</w:t>
      </w:r>
      <w:r>
        <w:rPr>
          <w:rFonts w:hAnsi="宋体" w:cs="宋体"/>
          <w:sz w:val="24"/>
          <w:szCs w:val="24"/>
          <w:u w:val="single"/>
        </w:rPr>
        <w:t xml:space="preserve">       </w:t>
      </w:r>
      <w:r>
        <w:rPr>
          <w:rFonts w:hint="eastAsia" w:hAnsi="宋体" w:cs="宋体"/>
          <w:sz w:val="24"/>
          <w:szCs w:val="24"/>
          <w:u w:val="single"/>
        </w:rPr>
        <w:t>（</w:t>
      </w:r>
      <w:r>
        <w:rPr>
          <w:rFonts w:hint="eastAsia" w:hAnsi="宋体" w:cs="宋体"/>
          <w:sz w:val="24"/>
          <w:szCs w:val="24"/>
        </w:rPr>
        <w:t>被授权人的姓名）代表我公司参加</w:t>
      </w:r>
      <w:r>
        <w:rPr>
          <w:rFonts w:hAnsi="宋体" w:cs="宋体"/>
          <w:sz w:val="24"/>
          <w:szCs w:val="24"/>
          <w:u w:val="single"/>
        </w:rPr>
        <w:t xml:space="preserve">             </w:t>
      </w:r>
      <w:r>
        <w:rPr>
          <w:rFonts w:hint="eastAsia" w:hAnsi="宋体" w:cs="宋体"/>
          <w:sz w:val="24"/>
          <w:szCs w:val="24"/>
        </w:rPr>
        <w:t>（</w:t>
      </w:r>
      <w:r>
        <w:rPr>
          <w:rFonts w:hint="eastAsia" w:ascii="宋体" w:hAnsi="宋体" w:cs="宋体"/>
          <w:color w:val="000000"/>
          <w:sz w:val="24"/>
          <w:szCs w:val="24"/>
        </w:rPr>
        <w:t>竞争性磋商项目名称</w:t>
      </w:r>
      <w:r>
        <w:rPr>
          <w:rFonts w:hAnsi="宋体" w:cs="宋体"/>
          <w:sz w:val="24"/>
          <w:szCs w:val="24"/>
        </w:rPr>
        <w:t>)</w:t>
      </w:r>
      <w:r>
        <w:rPr>
          <w:rFonts w:hint="eastAsia" w:hAnsi="宋体" w:cs="宋体"/>
          <w:sz w:val="24"/>
          <w:szCs w:val="24"/>
        </w:rPr>
        <w:t>项目的采购活动，全权处理一切与该项目招标有关的事务。其在办理上述事宜过程中所签署的所有文件我公司均予以承认。</w:t>
      </w:r>
    </w:p>
    <w:p>
      <w:pPr>
        <w:adjustRightInd w:val="0"/>
        <w:snapToGrid w:val="0"/>
        <w:spacing w:line="500" w:lineRule="exact"/>
        <w:ind w:firstLine="480" w:firstLineChars="200"/>
        <w:jc w:val="left"/>
        <w:rPr>
          <w:rFonts w:hint="eastAsia" w:ascii="宋体" w:hAnsi="宋体" w:cs="宋体"/>
          <w:kern w:val="0"/>
          <w:sz w:val="24"/>
          <w:szCs w:val="24"/>
        </w:rPr>
      </w:pPr>
    </w:p>
    <w:p>
      <w:pPr>
        <w:adjustRightInd w:val="0"/>
        <w:snapToGrid w:val="0"/>
        <w:spacing w:line="50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被授权人无转委托权，特此委托。</w:t>
      </w:r>
    </w:p>
    <w:p>
      <w:pPr>
        <w:adjustRightInd w:val="0"/>
        <w:snapToGrid w:val="0"/>
        <w:spacing w:line="500" w:lineRule="exact"/>
        <w:ind w:firstLine="480" w:firstLineChars="200"/>
        <w:jc w:val="left"/>
        <w:rPr>
          <w:rFonts w:hint="eastAsia" w:ascii="宋体" w:hAnsi="宋体" w:cs="宋体"/>
          <w:kern w:val="0"/>
          <w:sz w:val="24"/>
          <w:szCs w:val="24"/>
        </w:rPr>
      </w:pPr>
    </w:p>
    <w:p>
      <w:pPr>
        <w:spacing w:line="480" w:lineRule="exact"/>
        <w:rPr>
          <w:rFonts w:hint="eastAsia" w:hAnsi="宋体" w:cs="宋体"/>
          <w:sz w:val="24"/>
          <w:szCs w:val="24"/>
        </w:rPr>
      </w:pPr>
      <w:r>
        <w:rPr>
          <w:rFonts w:hint="eastAsia" w:hAnsi="宋体" w:cs="宋体"/>
          <w:sz w:val="24"/>
          <w:szCs w:val="24"/>
        </w:rPr>
        <w:t>附：被授权人情况：</w:t>
      </w:r>
    </w:p>
    <w:p>
      <w:pPr>
        <w:spacing w:line="480" w:lineRule="exact"/>
        <w:rPr>
          <w:rFonts w:hint="eastAsia" w:hAnsi="宋体" w:cs="宋体"/>
          <w:sz w:val="24"/>
          <w:szCs w:val="24"/>
          <w:u w:val="single"/>
        </w:rPr>
      </w:pPr>
      <w:r>
        <w:rPr>
          <w:rFonts w:hint="eastAsia" w:hAnsi="宋体" w:cs="宋体"/>
          <w:sz w:val="24"/>
          <w:szCs w:val="24"/>
        </w:rPr>
        <w:t>姓名：</w:t>
      </w:r>
      <w:r>
        <w:rPr>
          <w:rFonts w:hAnsi="宋体" w:cs="宋体"/>
          <w:sz w:val="24"/>
          <w:szCs w:val="24"/>
          <w:u w:val="single"/>
        </w:rPr>
        <w:t xml:space="preserve">         </w:t>
      </w:r>
      <w:r>
        <w:rPr>
          <w:rFonts w:hAnsi="宋体" w:cs="宋体"/>
          <w:sz w:val="24"/>
          <w:szCs w:val="24"/>
        </w:rPr>
        <w:t xml:space="preserve"> </w:t>
      </w:r>
      <w:r>
        <w:rPr>
          <w:rFonts w:hint="eastAsia" w:hAnsi="宋体" w:cs="宋体"/>
          <w:sz w:val="24"/>
          <w:szCs w:val="24"/>
        </w:rPr>
        <w:t>性别：</w:t>
      </w:r>
      <w:r>
        <w:rPr>
          <w:rFonts w:hAnsi="宋体" w:cs="宋体"/>
          <w:sz w:val="24"/>
          <w:szCs w:val="24"/>
          <w:u w:val="single"/>
        </w:rPr>
        <w:t xml:space="preserve">    </w:t>
      </w:r>
      <w:r>
        <w:rPr>
          <w:rFonts w:hint="eastAsia" w:hAnsi="宋体" w:cs="宋体"/>
          <w:sz w:val="24"/>
          <w:szCs w:val="24"/>
        </w:rPr>
        <w:t>年龄：</w:t>
      </w:r>
      <w:r>
        <w:rPr>
          <w:rFonts w:hAnsi="宋体" w:cs="宋体"/>
          <w:sz w:val="24"/>
          <w:szCs w:val="24"/>
          <w:u w:val="single"/>
        </w:rPr>
        <w:t xml:space="preserve">      </w:t>
      </w:r>
      <w:r>
        <w:rPr>
          <w:rFonts w:hint="eastAsia" w:hAnsi="宋体" w:cs="宋体"/>
          <w:sz w:val="24"/>
          <w:szCs w:val="24"/>
        </w:rPr>
        <w:t>职务：</w:t>
      </w:r>
      <w:r>
        <w:rPr>
          <w:rFonts w:hAnsi="宋体" w:cs="宋体"/>
          <w:sz w:val="24"/>
          <w:szCs w:val="24"/>
          <w:u w:val="single"/>
        </w:rPr>
        <w:t xml:space="preserve">          </w:t>
      </w:r>
    </w:p>
    <w:p>
      <w:pPr>
        <w:spacing w:line="480" w:lineRule="exact"/>
        <w:rPr>
          <w:rFonts w:hint="eastAsia" w:hAnsi="宋体" w:cs="宋体"/>
          <w:sz w:val="24"/>
          <w:szCs w:val="24"/>
        </w:rPr>
      </w:pPr>
      <w:r>
        <w:rPr>
          <w:rFonts w:hint="eastAsia" w:hAnsi="宋体" w:cs="宋体"/>
          <w:sz w:val="24"/>
          <w:szCs w:val="24"/>
        </w:rPr>
        <w:t>身份证号码：</w:t>
      </w:r>
      <w:r>
        <w:rPr>
          <w:rFonts w:hAnsi="宋体" w:cs="宋体"/>
          <w:sz w:val="24"/>
          <w:szCs w:val="24"/>
          <w:u w:val="single"/>
        </w:rPr>
        <w:t xml:space="preserve">                                          </w:t>
      </w:r>
    </w:p>
    <w:p>
      <w:pPr>
        <w:spacing w:line="480" w:lineRule="exact"/>
        <w:rPr>
          <w:rFonts w:hint="eastAsia" w:hAnsi="宋体" w:cs="宋体"/>
          <w:sz w:val="24"/>
          <w:szCs w:val="24"/>
        </w:rPr>
      </w:pPr>
      <w:r>
        <w:rPr>
          <w:rFonts w:hint="eastAsia" w:hAnsi="宋体" w:cs="宋体"/>
          <w:sz w:val="24"/>
          <w:szCs w:val="24"/>
        </w:rPr>
        <w:t>手机：</w:t>
      </w:r>
      <w:r>
        <w:rPr>
          <w:rFonts w:hAnsi="宋体" w:cs="宋体"/>
          <w:sz w:val="24"/>
          <w:szCs w:val="24"/>
          <w:u w:val="single"/>
        </w:rPr>
        <w:t xml:space="preserve">                 </w:t>
      </w:r>
      <w:r>
        <w:rPr>
          <w:rFonts w:hint="eastAsia" w:hAnsi="宋体" w:cs="宋体"/>
          <w:sz w:val="24"/>
          <w:szCs w:val="24"/>
        </w:rPr>
        <w:t>传真：</w:t>
      </w:r>
      <w:r>
        <w:rPr>
          <w:rFonts w:hAnsi="宋体" w:cs="宋体"/>
          <w:sz w:val="24"/>
          <w:szCs w:val="24"/>
          <w:u w:val="single"/>
        </w:rPr>
        <w:t xml:space="preserve">                        </w:t>
      </w:r>
      <w:r>
        <w:rPr>
          <w:rFonts w:hAnsi="宋体" w:cs="宋体"/>
          <w:sz w:val="24"/>
          <w:szCs w:val="24"/>
        </w:rPr>
        <w:t xml:space="preserve"> </w:t>
      </w:r>
    </w:p>
    <w:p>
      <w:pPr>
        <w:spacing w:line="480" w:lineRule="exact"/>
        <w:rPr>
          <w:rFonts w:hint="eastAsia" w:hAnsi="宋体" w:cs="宋体"/>
          <w:sz w:val="24"/>
          <w:szCs w:val="24"/>
        </w:rPr>
      </w:pPr>
    </w:p>
    <w:p>
      <w:pPr>
        <w:spacing w:line="480" w:lineRule="exact"/>
        <w:rPr>
          <w:rFonts w:hint="eastAsia" w:hAnsi="宋体" w:cs="宋体"/>
          <w:sz w:val="24"/>
          <w:szCs w:val="24"/>
        </w:rPr>
      </w:pPr>
    </w:p>
    <w:p>
      <w:pPr>
        <w:spacing w:line="480" w:lineRule="exact"/>
        <w:rPr>
          <w:rFonts w:hint="eastAsia" w:hAnsi="宋体" w:cs="宋体"/>
          <w:sz w:val="24"/>
          <w:szCs w:val="24"/>
        </w:rPr>
      </w:pPr>
      <w:r>
        <w:rPr>
          <w:rFonts w:hint="eastAsia" w:hAnsi="宋体" w:cs="宋体"/>
          <w:sz w:val="24"/>
          <w:szCs w:val="24"/>
        </w:rPr>
        <w:t>单位名称（公章）</w:t>
      </w:r>
      <w:r>
        <w:rPr>
          <w:rFonts w:hAnsi="宋体" w:cs="宋体"/>
          <w:sz w:val="24"/>
          <w:szCs w:val="24"/>
        </w:rPr>
        <w:t xml:space="preserve">             </w:t>
      </w:r>
      <w:r>
        <w:rPr>
          <w:rFonts w:hint="eastAsia" w:hAnsi="宋体" w:cs="宋体"/>
          <w:sz w:val="24"/>
          <w:szCs w:val="24"/>
        </w:rPr>
        <w:t>法定代表人（签字或盖章）</w:t>
      </w:r>
    </w:p>
    <w:p>
      <w:pPr>
        <w:spacing w:line="480" w:lineRule="exact"/>
        <w:ind w:firstLine="1200" w:firstLineChars="500"/>
        <w:rPr>
          <w:rFonts w:hint="eastAsia" w:hAnsi="宋体" w:cs="宋体"/>
          <w:sz w:val="24"/>
          <w:szCs w:val="24"/>
        </w:rPr>
      </w:pP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p>
    <w:p>
      <w:pPr>
        <w:snapToGrid w:val="0"/>
        <w:spacing w:line="520" w:lineRule="exact"/>
        <w:ind w:firstLine="2469" w:firstLineChars="1029"/>
        <w:rPr>
          <w:rFonts w:hint="eastAsia" w:hAnsi="宋体" w:cs="宋体"/>
          <w:sz w:val="24"/>
          <w:szCs w:val="24"/>
        </w:rPr>
      </w:pPr>
    </w:p>
    <w:p>
      <w:pPr>
        <w:snapToGrid w:val="0"/>
        <w:spacing w:line="520" w:lineRule="exact"/>
        <w:ind w:firstLine="2469" w:firstLineChars="1029"/>
        <w:rPr>
          <w:rFonts w:hint="eastAsia" w:hAnsi="宋体" w:cs="宋体"/>
          <w:sz w:val="24"/>
          <w:szCs w:val="24"/>
        </w:rPr>
      </w:pPr>
    </w:p>
    <w:p>
      <w:pPr>
        <w:snapToGrid w:val="0"/>
        <w:spacing w:line="520" w:lineRule="exact"/>
        <w:ind w:firstLine="2469" w:firstLineChars="1029"/>
        <w:rPr>
          <w:rFonts w:hint="eastAsia" w:hAnsi="宋体"/>
          <w:sz w:val="24"/>
          <w:szCs w:val="24"/>
        </w:rPr>
      </w:pPr>
      <w:r>
        <w:rPr>
          <w:rFonts w:hint="eastAsia" w:hAnsi="宋体" w:cs="宋体"/>
          <w:sz w:val="24"/>
          <w:szCs w:val="24"/>
        </w:rPr>
        <w:t>法定代表人身份证复印件</w:t>
      </w:r>
    </w:p>
    <w:p>
      <w:pPr>
        <w:snapToGrid w:val="0"/>
        <w:spacing w:line="520" w:lineRule="exact"/>
        <w:ind w:firstLine="2985" w:firstLineChars="1244"/>
        <w:rPr>
          <w:rFonts w:hint="eastAsia" w:hAnsi="宋体"/>
          <w:sz w:val="24"/>
          <w:szCs w:val="24"/>
        </w:rPr>
      </w:pPr>
      <w:r>
        <w:rPr>
          <w:rFonts w:hint="eastAsia" w:hAnsi="宋体" w:cs="宋体"/>
          <w:sz w:val="24"/>
          <w:szCs w:val="24"/>
        </w:rPr>
        <w:t>（粘贴此处）</w:t>
      </w:r>
    </w:p>
    <w:p>
      <w:pPr>
        <w:spacing w:line="480" w:lineRule="exact"/>
        <w:rPr>
          <w:rFonts w:hint="eastAsia" w:hAnsi="宋体"/>
          <w:sz w:val="24"/>
          <w:szCs w:val="24"/>
        </w:rPr>
      </w:pPr>
    </w:p>
    <w:p>
      <w:pPr>
        <w:spacing w:line="480" w:lineRule="exact"/>
        <w:ind w:firstLine="2469" w:firstLineChars="1029"/>
        <w:rPr>
          <w:rFonts w:hint="eastAsia" w:hAnsi="宋体"/>
          <w:sz w:val="24"/>
          <w:szCs w:val="24"/>
        </w:rPr>
      </w:pPr>
      <w:r>
        <w:rPr>
          <w:rFonts w:hint="eastAsia" w:hAnsi="宋体" w:cs="宋体"/>
          <w:sz w:val="24"/>
          <w:szCs w:val="24"/>
        </w:rPr>
        <w:t>被授权人身份证复印件</w:t>
      </w:r>
    </w:p>
    <w:p>
      <w:pPr>
        <w:spacing w:line="480" w:lineRule="exact"/>
        <w:ind w:firstLine="3103" w:firstLineChars="1293"/>
        <w:rPr>
          <w:rFonts w:hint="eastAsia" w:hAnsi="宋体"/>
          <w:sz w:val="24"/>
          <w:szCs w:val="24"/>
        </w:rPr>
      </w:pPr>
      <w:r>
        <w:rPr>
          <w:rFonts w:hint="eastAsia" w:hAnsi="宋体" w:cs="宋体"/>
          <w:sz w:val="24"/>
          <w:szCs w:val="24"/>
        </w:rPr>
        <w:t>（粘贴此处）</w:t>
      </w:r>
    </w:p>
    <w:p>
      <w:pPr>
        <w:spacing w:line="480" w:lineRule="exact"/>
        <w:ind w:firstLine="482" w:firstLineChars="200"/>
        <w:rPr>
          <w:rFonts w:hint="eastAsia" w:hAnsi="宋体" w:cs="宋体"/>
          <w:b/>
          <w:bCs/>
          <w:sz w:val="24"/>
          <w:szCs w:val="24"/>
        </w:rPr>
      </w:pPr>
    </w:p>
    <w:p>
      <w:pPr>
        <w:spacing w:line="480" w:lineRule="exact"/>
        <w:ind w:firstLine="482" w:firstLineChars="200"/>
        <w:rPr>
          <w:rFonts w:hint="eastAsia" w:hAnsi="宋体" w:cs="宋体"/>
          <w:b/>
          <w:bCs/>
          <w:sz w:val="24"/>
          <w:szCs w:val="24"/>
        </w:rPr>
      </w:pPr>
      <w:r>
        <w:rPr>
          <w:rFonts w:hint="eastAsia" w:hAnsi="宋体" w:cs="宋体"/>
          <w:b/>
          <w:bCs/>
          <w:sz w:val="24"/>
          <w:szCs w:val="24"/>
        </w:rPr>
        <w:t>注</w:t>
      </w:r>
      <w:r>
        <w:rPr>
          <w:rFonts w:hAnsi="宋体" w:cs="宋体"/>
          <w:b/>
          <w:bCs/>
          <w:sz w:val="24"/>
          <w:szCs w:val="24"/>
        </w:rPr>
        <w:t>:</w:t>
      </w:r>
      <w:r>
        <w:rPr>
          <w:rFonts w:hint="eastAsia" w:hAnsi="宋体" w:cs="宋体"/>
          <w:b/>
          <w:bCs/>
          <w:sz w:val="24"/>
          <w:szCs w:val="24"/>
        </w:rPr>
        <w:t>参加磋商时被授权人将身份证原件带至磋商现场备查。</w:t>
      </w:r>
    </w:p>
    <w:p>
      <w:pPr>
        <w:spacing w:line="480" w:lineRule="exact"/>
        <w:ind w:firstLine="482" w:firstLineChars="200"/>
        <w:rPr>
          <w:rFonts w:hint="eastAsia" w:hAnsi="宋体" w:cs="宋体"/>
          <w:b/>
          <w:bCs/>
          <w:sz w:val="24"/>
          <w:szCs w:val="24"/>
        </w:rPr>
      </w:pPr>
    </w:p>
    <w:p>
      <w:pPr>
        <w:spacing w:line="360" w:lineRule="auto"/>
        <w:jc w:val="center"/>
        <w:rPr>
          <w:rFonts w:ascii="宋体" w:cs="宋体"/>
          <w:b/>
          <w:color w:val="000000"/>
          <w:sz w:val="24"/>
          <w:szCs w:val="24"/>
        </w:rPr>
      </w:pPr>
      <w:r>
        <w:rPr>
          <w:rFonts w:ascii="宋体" w:cs="宋体"/>
          <w:b/>
          <w:color w:val="000000"/>
          <w:sz w:val="24"/>
          <w:szCs w:val="24"/>
        </w:rPr>
        <w:br w:type="page"/>
      </w:r>
    </w:p>
    <w:p>
      <w:pPr>
        <w:spacing w:line="360" w:lineRule="auto"/>
        <w:jc w:val="center"/>
        <w:rPr>
          <w:rFonts w:ascii="宋体" w:cs="宋体"/>
          <w:b/>
          <w:color w:val="000000"/>
          <w:sz w:val="24"/>
          <w:szCs w:val="24"/>
        </w:rPr>
      </w:pPr>
    </w:p>
    <w:p>
      <w:pPr>
        <w:spacing w:line="360" w:lineRule="auto"/>
        <w:jc w:val="center"/>
        <w:rPr>
          <w:rFonts w:hint="eastAsia" w:ascii="宋体" w:hAnsi="宋体" w:cs="宋体"/>
          <w:b/>
          <w:color w:val="000000"/>
          <w:sz w:val="28"/>
          <w:szCs w:val="28"/>
        </w:rPr>
      </w:pPr>
      <w:r>
        <w:rPr>
          <w:rFonts w:hint="eastAsia" w:ascii="宋体" w:cs="宋体"/>
          <w:b/>
          <w:color w:val="000000"/>
          <w:sz w:val="24"/>
          <w:szCs w:val="24"/>
        </w:rPr>
        <w:t>3、</w:t>
      </w:r>
      <w:r>
        <w:rPr>
          <w:rFonts w:hint="eastAsia" w:ascii="宋体" w:hAnsi="宋体" w:cs="宋体"/>
          <w:b/>
          <w:color w:val="000000"/>
          <w:sz w:val="28"/>
          <w:szCs w:val="28"/>
        </w:rPr>
        <w:t>投标人符合本项目供应商资格要求中“本项目的基本资格要求”规定条件的承诺函</w:t>
      </w:r>
    </w:p>
    <w:p>
      <w:pPr>
        <w:spacing w:line="460" w:lineRule="exact"/>
        <w:rPr>
          <w:rFonts w:hint="eastAsia" w:ascii="宋体" w:hAnsi="宋体" w:cs="宋体"/>
          <w:b/>
          <w:color w:val="000000"/>
          <w:sz w:val="28"/>
          <w:szCs w:val="28"/>
        </w:rPr>
      </w:pPr>
    </w:p>
    <w:p>
      <w:pPr>
        <w:spacing w:line="500" w:lineRule="exact"/>
        <w:ind w:firstLine="477" w:firstLineChars="199"/>
        <w:rPr>
          <w:rFonts w:hint="eastAsia" w:asciiTheme="majorEastAsia" w:hAnsiTheme="majorEastAsia" w:eastAsiaTheme="majorEastAsia"/>
          <w:b/>
          <w:color w:val="0D0D0D"/>
          <w:sz w:val="24"/>
          <w:szCs w:val="24"/>
          <w:lang w:val="zh-CN"/>
        </w:rPr>
      </w:pPr>
      <w:r>
        <w:rPr>
          <w:rFonts w:hint="eastAsia" w:asciiTheme="majorEastAsia" w:hAnsiTheme="majorEastAsia" w:eastAsiaTheme="majorEastAsia"/>
          <w:color w:val="0D0D0D"/>
          <w:sz w:val="24"/>
          <w:szCs w:val="24"/>
          <w:lang w:val="zh-CN"/>
        </w:rPr>
        <w:t>我单位参加</w:t>
      </w:r>
      <w:r>
        <w:rPr>
          <w:rFonts w:hint="eastAsia" w:asciiTheme="majorEastAsia" w:hAnsiTheme="majorEastAsia" w:eastAsiaTheme="majorEastAsia"/>
          <w:color w:val="0D0D0D"/>
          <w:sz w:val="24"/>
          <w:szCs w:val="24"/>
          <w:u w:val="single"/>
          <w:lang w:val="zh-CN"/>
        </w:rPr>
        <w:t>________________ _</w:t>
      </w:r>
      <w:r>
        <w:rPr>
          <w:rFonts w:hint="eastAsia" w:asciiTheme="majorEastAsia" w:hAnsiTheme="majorEastAsia" w:eastAsiaTheme="majorEastAsia"/>
          <w:color w:val="0D0D0D"/>
          <w:sz w:val="24"/>
          <w:szCs w:val="24"/>
          <w:lang w:val="zh-CN"/>
        </w:rPr>
        <w:t>（项目名称）的投标活动。针对本项目供应商资格要求中“本项目的基本资格要求”规定做出如下声明：</w:t>
      </w:r>
    </w:p>
    <w:p>
      <w:pPr>
        <w:spacing w:line="500" w:lineRule="exact"/>
        <w:ind w:firstLine="477" w:firstLineChars="199"/>
        <w:rPr>
          <w:rFonts w:hint="eastAsia" w:asciiTheme="majorEastAsia" w:hAnsiTheme="majorEastAsia" w:eastAsiaTheme="majorEastAsia"/>
          <w:color w:val="0D0D0D"/>
          <w:sz w:val="24"/>
          <w:szCs w:val="24"/>
          <w:lang w:val="zh-CN"/>
        </w:rPr>
      </w:pPr>
      <w:r>
        <w:rPr>
          <w:rFonts w:hint="eastAsia" w:asciiTheme="majorEastAsia" w:hAnsiTheme="majorEastAsia" w:eastAsiaTheme="majorEastAsia"/>
          <w:color w:val="0D0D0D"/>
          <w:sz w:val="24"/>
          <w:szCs w:val="24"/>
          <w:lang w:val="zh-CN"/>
        </w:rPr>
        <w:t>1.我单位具有独立承担民事责任的能力；</w:t>
      </w:r>
    </w:p>
    <w:p>
      <w:pPr>
        <w:spacing w:line="500" w:lineRule="exact"/>
        <w:ind w:firstLine="477" w:firstLineChars="199"/>
        <w:rPr>
          <w:rFonts w:hint="eastAsia" w:asciiTheme="majorEastAsia" w:hAnsiTheme="majorEastAsia" w:eastAsiaTheme="majorEastAsia"/>
          <w:color w:val="0D0D0D"/>
          <w:sz w:val="24"/>
          <w:szCs w:val="24"/>
          <w:lang w:val="zh-CN"/>
        </w:rPr>
      </w:pPr>
      <w:r>
        <w:rPr>
          <w:rFonts w:hint="eastAsia" w:asciiTheme="majorEastAsia" w:hAnsiTheme="majorEastAsia" w:eastAsiaTheme="majorEastAsia"/>
          <w:color w:val="0D0D0D"/>
          <w:sz w:val="24"/>
          <w:szCs w:val="24"/>
          <w:lang w:val="zh-CN"/>
        </w:rPr>
        <w:t>2.我单位具有良好的商业信誉和健全的财务会计制度；</w:t>
      </w:r>
    </w:p>
    <w:p>
      <w:pPr>
        <w:spacing w:line="500" w:lineRule="exact"/>
        <w:ind w:firstLine="477" w:firstLineChars="199"/>
        <w:rPr>
          <w:rFonts w:hint="eastAsia" w:asciiTheme="majorEastAsia" w:hAnsiTheme="majorEastAsia" w:eastAsiaTheme="majorEastAsia"/>
          <w:color w:val="0D0D0D"/>
          <w:sz w:val="24"/>
          <w:szCs w:val="24"/>
          <w:lang w:val="zh-CN"/>
        </w:rPr>
      </w:pPr>
      <w:r>
        <w:rPr>
          <w:rFonts w:hint="eastAsia" w:asciiTheme="majorEastAsia" w:hAnsiTheme="majorEastAsia" w:eastAsiaTheme="majorEastAsia"/>
          <w:color w:val="0D0D0D"/>
          <w:sz w:val="24"/>
          <w:szCs w:val="24"/>
          <w:lang w:val="zh-CN"/>
        </w:rPr>
        <w:t>3.我单位具有履行合同所必需的设备和专业技术能力；</w:t>
      </w:r>
    </w:p>
    <w:p>
      <w:pPr>
        <w:spacing w:line="500" w:lineRule="exact"/>
        <w:ind w:firstLine="477" w:firstLineChars="199"/>
        <w:rPr>
          <w:rFonts w:hint="eastAsia" w:asciiTheme="majorEastAsia" w:hAnsiTheme="majorEastAsia" w:eastAsiaTheme="majorEastAsia"/>
          <w:color w:val="0D0D0D"/>
          <w:sz w:val="24"/>
          <w:szCs w:val="24"/>
          <w:lang w:val="zh-CN"/>
        </w:rPr>
      </w:pPr>
      <w:r>
        <w:rPr>
          <w:rFonts w:hint="eastAsia" w:asciiTheme="majorEastAsia" w:hAnsiTheme="majorEastAsia" w:eastAsiaTheme="majorEastAsia"/>
          <w:color w:val="0D0D0D"/>
          <w:sz w:val="24"/>
          <w:szCs w:val="24"/>
          <w:lang w:val="zh-CN"/>
        </w:rPr>
        <w:t>4.我单位有依法缴纳税收和社会保障资金的良好记录；</w:t>
      </w:r>
    </w:p>
    <w:p>
      <w:pPr>
        <w:spacing w:line="500" w:lineRule="exact"/>
        <w:ind w:firstLine="477" w:firstLineChars="199"/>
        <w:rPr>
          <w:rFonts w:hint="eastAsia" w:asciiTheme="majorEastAsia" w:hAnsiTheme="majorEastAsia" w:eastAsiaTheme="majorEastAsia"/>
          <w:color w:val="0D0D0D"/>
          <w:sz w:val="24"/>
          <w:szCs w:val="24"/>
          <w:lang w:val="zh-CN"/>
        </w:rPr>
      </w:pPr>
      <w:r>
        <w:rPr>
          <w:rFonts w:hint="eastAsia" w:asciiTheme="majorEastAsia" w:hAnsiTheme="majorEastAsia" w:eastAsiaTheme="majorEastAsia"/>
          <w:color w:val="0D0D0D"/>
          <w:sz w:val="24"/>
          <w:szCs w:val="24"/>
          <w:lang w:val="zh-CN"/>
        </w:rPr>
        <w:t>5.我单位参加采购活动前三年内，在经营活动中没有重大违法记录；</w:t>
      </w:r>
    </w:p>
    <w:p>
      <w:pPr>
        <w:spacing w:line="500" w:lineRule="exact"/>
        <w:ind w:firstLine="477" w:firstLineChars="199"/>
        <w:rPr>
          <w:rFonts w:hint="eastAsia" w:asciiTheme="majorEastAsia" w:hAnsiTheme="majorEastAsia" w:eastAsiaTheme="majorEastAsia"/>
          <w:color w:val="0D0D0D"/>
          <w:sz w:val="24"/>
          <w:szCs w:val="24"/>
          <w:lang w:val="zh-CN"/>
        </w:rPr>
      </w:pPr>
      <w:r>
        <w:rPr>
          <w:rFonts w:hint="eastAsia" w:asciiTheme="majorEastAsia" w:hAnsiTheme="majorEastAsia" w:eastAsiaTheme="majorEastAsia"/>
          <w:color w:val="0D0D0D"/>
          <w:sz w:val="24"/>
          <w:szCs w:val="24"/>
          <w:lang w:val="zh-CN"/>
        </w:rPr>
        <w:t>6.我单位满足法律、行政法规规定的其他条件。</w:t>
      </w:r>
    </w:p>
    <w:p>
      <w:pPr>
        <w:spacing w:line="500" w:lineRule="exact"/>
        <w:ind w:firstLine="482"/>
        <w:rPr>
          <w:rFonts w:hint="eastAsia" w:asciiTheme="majorEastAsia" w:hAnsiTheme="majorEastAsia" w:eastAsiaTheme="majorEastAsia"/>
          <w:color w:val="0D0D0D"/>
          <w:sz w:val="24"/>
          <w:szCs w:val="24"/>
        </w:rPr>
      </w:pPr>
    </w:p>
    <w:p>
      <w:pPr>
        <w:spacing w:line="500" w:lineRule="exact"/>
        <w:rPr>
          <w:rFonts w:hint="eastAsia" w:asciiTheme="majorEastAsia" w:hAnsiTheme="majorEastAsia" w:eastAsiaTheme="majorEastAsia"/>
          <w:bCs/>
          <w:color w:val="0D0D0D"/>
          <w:sz w:val="24"/>
          <w:szCs w:val="24"/>
        </w:rPr>
      </w:pPr>
    </w:p>
    <w:p>
      <w:pPr>
        <w:spacing w:line="500" w:lineRule="exact"/>
        <w:rPr>
          <w:rFonts w:hint="eastAsia" w:asciiTheme="majorEastAsia" w:hAnsiTheme="majorEastAsia" w:eastAsiaTheme="majorEastAsia"/>
          <w:bCs/>
          <w:color w:val="0D0D0D"/>
          <w:sz w:val="24"/>
          <w:szCs w:val="24"/>
        </w:rPr>
      </w:pPr>
    </w:p>
    <w:p>
      <w:pPr>
        <w:spacing w:line="500" w:lineRule="exact"/>
        <w:rPr>
          <w:rFonts w:hint="eastAsia" w:asciiTheme="majorEastAsia" w:hAnsiTheme="majorEastAsia" w:eastAsiaTheme="majorEastAsia"/>
          <w:bCs/>
          <w:color w:val="0D0D0D"/>
          <w:sz w:val="24"/>
          <w:szCs w:val="24"/>
        </w:rPr>
      </w:pPr>
    </w:p>
    <w:p>
      <w:pPr>
        <w:spacing w:line="460" w:lineRule="exact"/>
        <w:ind w:firstLine="477" w:firstLineChars="199"/>
        <w:rPr>
          <w:rFonts w:hint="eastAsia" w:asciiTheme="majorEastAsia" w:hAnsiTheme="majorEastAsia" w:eastAsiaTheme="majorEastAsia"/>
          <w:color w:val="0D0D0D"/>
          <w:sz w:val="24"/>
          <w:szCs w:val="24"/>
          <w:lang w:val="zh-CN"/>
        </w:rPr>
      </w:pPr>
      <w:r>
        <w:rPr>
          <w:rFonts w:hint="eastAsia" w:asciiTheme="majorEastAsia" w:hAnsiTheme="majorEastAsia" w:eastAsiaTheme="majorEastAsia"/>
          <w:color w:val="0D0D0D"/>
          <w:sz w:val="24"/>
          <w:szCs w:val="24"/>
          <w:lang w:val="zh-CN"/>
        </w:rPr>
        <w:t xml:space="preserve">                                             承诺人名称（公章）：</w:t>
      </w:r>
    </w:p>
    <w:p>
      <w:pPr>
        <w:spacing w:line="460" w:lineRule="exact"/>
        <w:ind w:firstLine="477" w:firstLineChars="199"/>
        <w:rPr>
          <w:rFonts w:hint="eastAsia" w:asciiTheme="majorEastAsia" w:hAnsiTheme="majorEastAsia" w:eastAsiaTheme="majorEastAsia"/>
          <w:color w:val="0D0D0D"/>
          <w:sz w:val="24"/>
          <w:szCs w:val="24"/>
          <w:lang w:val="zh-CN"/>
        </w:rPr>
      </w:pPr>
    </w:p>
    <w:p>
      <w:pPr>
        <w:spacing w:line="460" w:lineRule="exact"/>
        <w:ind w:right="840" w:firstLine="5757" w:firstLineChars="2399"/>
        <w:rPr>
          <w:rFonts w:hint="eastAsia" w:asciiTheme="majorEastAsia" w:hAnsiTheme="majorEastAsia" w:eastAsiaTheme="majorEastAsia"/>
          <w:color w:val="0D0D0D"/>
          <w:sz w:val="24"/>
          <w:szCs w:val="24"/>
          <w:lang w:val="zh-CN"/>
        </w:rPr>
      </w:pPr>
      <w:r>
        <w:rPr>
          <w:rFonts w:hint="eastAsia" w:asciiTheme="majorEastAsia" w:hAnsiTheme="majorEastAsia" w:eastAsiaTheme="majorEastAsia"/>
          <w:color w:val="0D0D0D"/>
          <w:sz w:val="24"/>
          <w:szCs w:val="24"/>
          <w:lang w:val="zh-CN"/>
        </w:rPr>
        <w:t xml:space="preserve"> 日期：</w:t>
      </w:r>
      <w:r>
        <w:rPr>
          <w:rFonts w:hint="eastAsia" w:asciiTheme="majorEastAsia" w:hAnsiTheme="majorEastAsia" w:eastAsiaTheme="majorEastAsia"/>
          <w:color w:val="0D0D0D"/>
          <w:sz w:val="24"/>
          <w:szCs w:val="24"/>
          <w:u w:val="single"/>
          <w:lang w:val="zh-CN"/>
        </w:rPr>
        <w:t xml:space="preserve">   </w:t>
      </w:r>
      <w:r>
        <w:rPr>
          <w:rFonts w:hint="eastAsia" w:asciiTheme="majorEastAsia" w:hAnsiTheme="majorEastAsia" w:eastAsiaTheme="majorEastAsia"/>
          <w:color w:val="0D0D0D"/>
          <w:sz w:val="24"/>
          <w:szCs w:val="24"/>
          <w:lang w:val="zh-CN"/>
        </w:rPr>
        <w:t>年  月  日</w:t>
      </w:r>
    </w:p>
    <w:p>
      <w:pPr>
        <w:snapToGrid w:val="0"/>
        <w:spacing w:line="520" w:lineRule="exact"/>
        <w:jc w:val="center"/>
        <w:outlineLvl w:val="4"/>
        <w:rPr>
          <w:rFonts w:hint="eastAsia" w:ascii="宋体" w:hAnsi="宋体" w:cs="宋体"/>
          <w:b/>
          <w:color w:val="000000"/>
          <w:sz w:val="28"/>
          <w:szCs w:val="28"/>
        </w:rPr>
      </w:pPr>
    </w:p>
    <w:p>
      <w:pPr>
        <w:snapToGrid w:val="0"/>
        <w:spacing w:line="520" w:lineRule="exact"/>
        <w:jc w:val="center"/>
        <w:outlineLvl w:val="3"/>
        <w:rPr>
          <w:rFonts w:hint="eastAsia" w:ascii="宋体" w:hAnsi="宋体" w:cs="宋体"/>
          <w:b/>
          <w:color w:val="000000"/>
          <w:sz w:val="28"/>
          <w:szCs w:val="28"/>
        </w:rPr>
      </w:pPr>
    </w:p>
    <w:p>
      <w:pPr>
        <w:snapToGrid w:val="0"/>
        <w:spacing w:line="520" w:lineRule="exact"/>
        <w:jc w:val="center"/>
        <w:outlineLvl w:val="3"/>
        <w:rPr>
          <w:rFonts w:hint="eastAsia" w:ascii="宋体" w:hAnsi="宋体" w:cs="宋体"/>
          <w:b/>
          <w:color w:val="000000"/>
          <w:sz w:val="28"/>
          <w:szCs w:val="28"/>
        </w:rPr>
      </w:pPr>
    </w:p>
    <w:p>
      <w:pPr>
        <w:snapToGrid w:val="0"/>
        <w:spacing w:line="520" w:lineRule="exact"/>
        <w:jc w:val="center"/>
        <w:outlineLvl w:val="3"/>
        <w:rPr>
          <w:rFonts w:hint="eastAsia" w:ascii="宋体" w:hAnsi="宋体" w:cs="宋体"/>
          <w:b/>
          <w:color w:val="000000"/>
          <w:sz w:val="28"/>
          <w:szCs w:val="28"/>
        </w:rPr>
      </w:pPr>
    </w:p>
    <w:p>
      <w:pPr>
        <w:snapToGrid w:val="0"/>
        <w:spacing w:line="520" w:lineRule="exact"/>
        <w:jc w:val="center"/>
        <w:outlineLvl w:val="3"/>
        <w:rPr>
          <w:rFonts w:hint="eastAsia" w:ascii="宋体" w:hAnsi="宋体" w:cs="宋体"/>
          <w:b/>
          <w:color w:val="000000"/>
          <w:sz w:val="28"/>
          <w:szCs w:val="28"/>
        </w:rPr>
      </w:pPr>
    </w:p>
    <w:p>
      <w:pPr>
        <w:snapToGrid w:val="0"/>
        <w:spacing w:line="520" w:lineRule="exact"/>
        <w:jc w:val="center"/>
        <w:outlineLvl w:val="3"/>
        <w:rPr>
          <w:rFonts w:hint="eastAsia" w:ascii="宋体" w:hAnsi="宋体" w:cs="宋体"/>
          <w:b/>
          <w:color w:val="000000"/>
          <w:sz w:val="28"/>
          <w:szCs w:val="28"/>
        </w:rPr>
      </w:pPr>
    </w:p>
    <w:p>
      <w:pPr>
        <w:snapToGrid w:val="0"/>
        <w:spacing w:line="520" w:lineRule="exact"/>
        <w:jc w:val="center"/>
        <w:outlineLvl w:val="3"/>
        <w:rPr>
          <w:rFonts w:hint="eastAsia" w:ascii="宋体" w:hAnsi="宋体" w:cs="宋体"/>
          <w:b/>
          <w:color w:val="000000"/>
          <w:sz w:val="28"/>
          <w:szCs w:val="28"/>
        </w:rPr>
      </w:pPr>
    </w:p>
    <w:p>
      <w:pPr>
        <w:snapToGrid w:val="0"/>
        <w:spacing w:line="520" w:lineRule="exact"/>
        <w:jc w:val="center"/>
        <w:outlineLvl w:val="3"/>
        <w:rPr>
          <w:rFonts w:hint="eastAsia" w:ascii="宋体" w:hAnsi="宋体" w:cs="宋体"/>
          <w:b/>
          <w:color w:val="000000"/>
          <w:sz w:val="28"/>
          <w:szCs w:val="28"/>
        </w:rPr>
      </w:pPr>
    </w:p>
    <w:p>
      <w:pPr>
        <w:snapToGrid w:val="0"/>
        <w:spacing w:line="520" w:lineRule="exact"/>
        <w:jc w:val="center"/>
        <w:outlineLvl w:val="3"/>
        <w:rPr>
          <w:rFonts w:hint="eastAsia" w:ascii="宋体" w:hAnsi="宋体" w:cs="宋体"/>
          <w:b/>
          <w:color w:val="000000"/>
          <w:sz w:val="28"/>
          <w:szCs w:val="28"/>
        </w:rPr>
      </w:pPr>
    </w:p>
    <w:p>
      <w:pPr>
        <w:snapToGrid w:val="0"/>
        <w:spacing w:line="520" w:lineRule="exact"/>
        <w:jc w:val="center"/>
        <w:outlineLvl w:val="3"/>
        <w:rPr>
          <w:rFonts w:hint="eastAsia" w:ascii="宋体" w:hAnsi="宋体" w:cs="宋体"/>
          <w:b/>
          <w:color w:val="000000"/>
          <w:sz w:val="28"/>
          <w:szCs w:val="28"/>
        </w:rPr>
      </w:pPr>
    </w:p>
    <w:p>
      <w:pPr>
        <w:snapToGrid w:val="0"/>
        <w:spacing w:line="520" w:lineRule="exact"/>
        <w:jc w:val="center"/>
        <w:outlineLvl w:val="3"/>
        <w:rPr>
          <w:rFonts w:ascii="宋体" w:cs="宋体"/>
          <w:b/>
          <w:color w:val="000000"/>
          <w:sz w:val="28"/>
          <w:szCs w:val="28"/>
        </w:rPr>
      </w:pPr>
      <w:r>
        <w:rPr>
          <w:rFonts w:hint="eastAsia" w:ascii="宋体" w:hAnsi="宋体" w:cs="宋体"/>
          <w:b/>
          <w:color w:val="000000"/>
          <w:sz w:val="28"/>
          <w:szCs w:val="28"/>
        </w:rPr>
        <w:t>4、关于资格文件的声明函</w:t>
      </w:r>
    </w:p>
    <w:p>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南通市文化馆</w:t>
      </w:r>
      <w:r>
        <w:rPr>
          <w:rFonts w:ascii="宋体" w:hAnsi="宋体" w:cs="宋体"/>
          <w:sz w:val="24"/>
          <w:szCs w:val="24"/>
          <w:u w:val="single"/>
        </w:rPr>
        <w:t>:</w:t>
      </w:r>
    </w:p>
    <w:p>
      <w:pPr>
        <w:overflowPunct w:val="0"/>
        <w:adjustRightInd w:val="0"/>
        <w:spacing w:line="520" w:lineRule="exact"/>
        <w:ind w:firstLine="660"/>
        <w:jc w:val="left"/>
        <w:textAlignment w:val="baseline"/>
        <w:rPr>
          <w:rFonts w:ascii="宋体"/>
          <w:sz w:val="24"/>
          <w:szCs w:val="24"/>
        </w:rPr>
      </w:pPr>
      <w:r>
        <w:rPr>
          <w:rFonts w:hint="eastAsia" w:ascii="宋体" w:hAnsi="宋体"/>
          <w:sz w:val="24"/>
          <w:szCs w:val="24"/>
        </w:rPr>
        <w:t>本公司愿就由贵公司组织实施的</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的活动参与磋商。本公司所提交的投标文件中所有关于投标资格的文件、证明和陈述均是真实的、准确的。若与真实情况不符，本公司愿意承担由此而产生的一切后果。</w:t>
      </w:r>
    </w:p>
    <w:p>
      <w:pPr>
        <w:overflowPunct w:val="0"/>
        <w:adjustRightInd w:val="0"/>
        <w:spacing w:line="520" w:lineRule="exact"/>
        <w:ind w:firstLine="420"/>
        <w:jc w:val="right"/>
        <w:textAlignment w:val="baseline"/>
        <w:rPr>
          <w:rFonts w:ascii="宋体"/>
          <w:sz w:val="24"/>
          <w:szCs w:val="24"/>
        </w:rPr>
      </w:pPr>
    </w:p>
    <w:p>
      <w:pPr>
        <w:overflowPunct w:val="0"/>
        <w:adjustRightInd w:val="0"/>
        <w:spacing w:line="520" w:lineRule="exact"/>
        <w:ind w:firstLine="420"/>
        <w:jc w:val="righ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wordWrap w:val="0"/>
        <w:snapToGrid w:val="0"/>
        <w:spacing w:line="520" w:lineRule="exact"/>
        <w:jc w:val="righ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overflowPunct w:val="0"/>
        <w:adjustRightInd w:val="0"/>
        <w:spacing w:line="520" w:lineRule="exact"/>
        <w:ind w:firstLine="420"/>
        <w:jc w:val="right"/>
        <w:textAlignment w:val="baseline"/>
        <w:rPr>
          <w:rFonts w:ascii="宋体"/>
          <w:sz w:val="24"/>
          <w:szCs w:val="24"/>
        </w:rPr>
      </w:pPr>
    </w:p>
    <w:p>
      <w:pPr>
        <w:spacing w:line="480" w:lineRule="exact"/>
        <w:ind w:firstLine="482" w:firstLineChars="200"/>
        <w:rPr>
          <w:rFonts w:hint="eastAsia" w:hAnsi="宋体" w:cs="宋体"/>
          <w:b/>
          <w:bCs/>
          <w:sz w:val="24"/>
          <w:szCs w:val="24"/>
        </w:rPr>
      </w:pPr>
    </w:p>
    <w:p>
      <w:pPr>
        <w:wordWrap w:val="0"/>
        <w:snapToGrid w:val="0"/>
        <w:spacing w:line="520" w:lineRule="exact"/>
        <w:jc w:val="right"/>
        <w:rPr>
          <w:rFonts w:ascii="宋体"/>
          <w:sz w:val="24"/>
          <w:szCs w:val="24"/>
        </w:rPr>
      </w:pPr>
    </w:p>
    <w:p>
      <w:pPr>
        <w:overflowPunct w:val="0"/>
        <w:adjustRightInd w:val="0"/>
        <w:spacing w:line="520" w:lineRule="exact"/>
        <w:ind w:firstLine="420"/>
        <w:jc w:val="right"/>
        <w:textAlignment w:val="baseline"/>
        <w:rPr>
          <w:rFonts w:ascii="宋体"/>
          <w:sz w:val="24"/>
          <w:szCs w:val="24"/>
        </w:rPr>
      </w:pPr>
    </w:p>
    <w:p>
      <w:pPr>
        <w:spacing w:line="480" w:lineRule="exact"/>
        <w:ind w:firstLine="482" w:firstLineChars="200"/>
        <w:rPr>
          <w:rFonts w:hint="eastAsia" w:hAnsi="宋体" w:cs="宋体"/>
          <w:b/>
          <w:bCs/>
          <w:sz w:val="24"/>
          <w:szCs w:val="24"/>
        </w:rPr>
      </w:pPr>
    </w:p>
    <w:p>
      <w:pPr>
        <w:snapToGrid w:val="0"/>
        <w:spacing w:line="520" w:lineRule="exact"/>
        <w:jc w:val="center"/>
        <w:outlineLvl w:val="3"/>
        <w:rPr>
          <w:rFonts w:ascii="宋体" w:cs="宋体"/>
          <w:b/>
          <w:bCs/>
          <w:color w:val="000000"/>
          <w:sz w:val="28"/>
          <w:szCs w:val="28"/>
        </w:rPr>
      </w:pPr>
      <w:r>
        <w:rPr>
          <w:rFonts w:ascii="宋体" w:cs="宋体"/>
          <w:b/>
          <w:sz w:val="24"/>
          <w:szCs w:val="24"/>
        </w:rPr>
        <w:br w:type="page"/>
      </w:r>
      <w:r>
        <w:rPr>
          <w:rFonts w:hint="eastAsia" w:ascii="宋体" w:hAnsi="宋体" w:cs="宋体"/>
          <w:b/>
          <w:color w:val="000000"/>
          <w:sz w:val="28"/>
          <w:szCs w:val="28"/>
        </w:rPr>
        <w:t>5</w:t>
      </w:r>
      <w:r>
        <w:rPr>
          <w:rFonts w:hint="eastAsia" w:ascii="宋体" w:hAnsi="宋体" w:cs="宋体"/>
          <w:b/>
          <w:bCs/>
          <w:color w:val="000000"/>
          <w:sz w:val="28"/>
          <w:szCs w:val="28"/>
        </w:rPr>
        <w:t>、竞争性磋商响应函</w:t>
      </w:r>
      <w:r>
        <w:rPr>
          <w:rFonts w:hint="eastAsia" w:ascii="宋体" w:hAnsi="宋体" w:cs="宋体"/>
          <w:bCs/>
          <w:color w:val="000000"/>
          <w:sz w:val="28"/>
          <w:szCs w:val="28"/>
        </w:rPr>
        <w:t>（</w:t>
      </w:r>
      <w:r>
        <w:rPr>
          <w:rFonts w:hint="eastAsia" w:ascii="宋体" w:hAnsi="宋体" w:cs="宋体"/>
          <w:bCs/>
          <w:color w:val="000000"/>
          <w:sz w:val="28"/>
          <w:szCs w:val="28"/>
          <w:u w:val="single"/>
        </w:rPr>
        <w:t>格式不得变动</w:t>
      </w:r>
      <w:r>
        <w:rPr>
          <w:rFonts w:hint="eastAsia" w:ascii="宋体" w:hAnsi="宋体" w:cs="宋体"/>
          <w:bCs/>
          <w:color w:val="000000"/>
          <w:sz w:val="28"/>
          <w:szCs w:val="28"/>
        </w:rPr>
        <w:t>）</w:t>
      </w:r>
    </w:p>
    <w:p>
      <w:pPr>
        <w:snapToGrid w:val="0"/>
        <w:spacing w:line="520" w:lineRule="exact"/>
        <w:ind w:firstLine="480" w:firstLineChars="200"/>
        <w:rPr>
          <w:rFonts w:ascii="宋体" w:cs="宋体"/>
          <w:color w:val="000000"/>
          <w:sz w:val="24"/>
          <w:szCs w:val="24"/>
        </w:rPr>
      </w:pPr>
      <w:bookmarkStart w:id="64" w:name="_Toc425960671"/>
      <w:r>
        <w:rPr>
          <w:rFonts w:hint="eastAsia" w:ascii="宋体" w:hAnsi="宋体" w:cs="宋体"/>
          <w:color w:val="000000"/>
          <w:sz w:val="24"/>
          <w:szCs w:val="24"/>
        </w:rPr>
        <w:t>依据贵单位委托代理机构组织的</w:t>
      </w:r>
      <w:r>
        <w:rPr>
          <w:rFonts w:ascii="宋体" w:hAnsi="宋体" w:cs="宋体"/>
          <w:color w:val="000000"/>
          <w:sz w:val="24"/>
          <w:szCs w:val="24"/>
          <w:u w:val="single"/>
        </w:rPr>
        <w:t xml:space="preserve">               </w:t>
      </w:r>
      <w:r>
        <w:rPr>
          <w:rFonts w:hint="eastAsia" w:ascii="宋体" w:hAnsi="宋体" w:cs="宋体"/>
          <w:color w:val="000000"/>
          <w:sz w:val="24"/>
          <w:szCs w:val="24"/>
        </w:rPr>
        <w:t>（磋商项目名称</w:t>
      </w:r>
      <w:r>
        <w:rPr>
          <w:rFonts w:ascii="宋体" w:hAnsi="宋体" w:cs="宋体"/>
          <w:color w:val="000000"/>
          <w:sz w:val="24"/>
          <w:szCs w:val="24"/>
        </w:rPr>
        <w:t>)</w:t>
      </w:r>
      <w:r>
        <w:rPr>
          <w:rFonts w:hint="eastAsia" w:ascii="宋体" w:hAnsi="宋体" w:cs="宋体"/>
          <w:color w:val="000000"/>
          <w:sz w:val="24"/>
          <w:szCs w:val="24"/>
        </w:rPr>
        <w:t>项目竞争性磋商的邀请，我方授权</w:t>
      </w:r>
      <w:r>
        <w:rPr>
          <w:rFonts w:ascii="宋体" w:hAnsi="宋体" w:cs="宋体"/>
          <w:color w:val="000000"/>
          <w:sz w:val="24"/>
          <w:szCs w:val="24"/>
          <w:u w:val="single"/>
        </w:rPr>
        <w:t xml:space="preserve">    </w:t>
      </w:r>
      <w:r>
        <w:rPr>
          <w:rFonts w:hint="eastAsia" w:ascii="宋体" w:hAnsi="宋体" w:cs="宋体"/>
          <w:color w:val="000000"/>
          <w:sz w:val="24"/>
          <w:szCs w:val="24"/>
          <w:u w:val="single"/>
        </w:rPr>
        <w:t>（姓名）</w:t>
      </w:r>
      <w:r>
        <w:rPr>
          <w:rFonts w:ascii="宋体" w:hAnsi="宋体" w:cs="宋体"/>
          <w:color w:val="000000"/>
          <w:sz w:val="24"/>
          <w:szCs w:val="24"/>
          <w:u w:val="single"/>
        </w:rPr>
        <w:t xml:space="preserve">    </w:t>
      </w:r>
      <w:r>
        <w:rPr>
          <w:rFonts w:hint="eastAsia" w:ascii="宋体" w:hAnsi="宋体" w:cs="宋体"/>
          <w:color w:val="000000"/>
          <w:sz w:val="24"/>
          <w:szCs w:val="24"/>
          <w:u w:val="single"/>
        </w:rPr>
        <w:t>（职务）</w:t>
      </w:r>
      <w:r>
        <w:rPr>
          <w:rFonts w:hint="eastAsia" w:ascii="宋体" w:hAnsi="宋体" w:cs="宋体"/>
          <w:color w:val="000000"/>
          <w:sz w:val="24"/>
          <w:szCs w:val="24"/>
        </w:rPr>
        <w:t>为全权代表参加该项目的磋商工作，全权处理本次竞争性磋商的有关事宜。同时，我公司声明如下：</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、我公司已毫无保留地向贵方提供一切所需的证明材料。</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、一旦成交，我方承诺无正当理由拒绝签订合同，将被贵方取消成交资格。</w:t>
      </w:r>
    </w:p>
    <w:p>
      <w:pPr>
        <w:snapToGrid w:val="0"/>
        <w:spacing w:line="52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w:t>
      </w:r>
      <w:r>
        <w:rPr>
          <w:rFonts w:hint="eastAsia" w:ascii="宋体" w:hAnsi="宋体" w:cs="宋体"/>
          <w:b/>
          <w:color w:val="000000"/>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cs="宋体"/>
          <w:color w:val="000000"/>
          <w:sz w:val="24"/>
          <w:szCs w:val="24"/>
        </w:rPr>
      </w:pPr>
    </w:p>
    <w:p>
      <w:pPr>
        <w:snapToGrid w:val="0"/>
        <w:spacing w:line="520" w:lineRule="exact"/>
        <w:jc w:val="right"/>
        <w:rPr>
          <w:rFonts w:ascii="宋体" w:cs="宋体"/>
          <w:color w:val="000000"/>
          <w:sz w:val="24"/>
          <w:szCs w:val="24"/>
        </w:rPr>
      </w:pPr>
      <w:r>
        <w:rPr>
          <w:rFonts w:hint="eastAsia" w:ascii="宋体" w:hAnsi="宋体" w:cs="宋体"/>
          <w:color w:val="000000"/>
          <w:sz w:val="24"/>
          <w:szCs w:val="24"/>
        </w:rPr>
        <w:t>竞争性磋商响应单位：</w:t>
      </w:r>
      <w:r>
        <w:rPr>
          <w:rFonts w:ascii="宋体" w:hAnsi="宋体" w:cs="宋体"/>
          <w:color w:val="000000"/>
          <w:sz w:val="24"/>
          <w:szCs w:val="24"/>
          <w:u w:val="single"/>
        </w:rPr>
        <w:t xml:space="preserve">                    </w:t>
      </w:r>
      <w:r>
        <w:rPr>
          <w:rFonts w:hint="eastAsia" w:ascii="宋体" w:hAnsi="宋体" w:cs="宋体"/>
          <w:color w:val="000000"/>
          <w:sz w:val="24"/>
          <w:szCs w:val="24"/>
        </w:rPr>
        <w:t>（加盖公章）</w:t>
      </w:r>
    </w:p>
    <w:p>
      <w:pPr>
        <w:snapToGrid w:val="0"/>
        <w:spacing w:line="520" w:lineRule="exact"/>
        <w:ind w:firstLine="2400" w:firstLineChars="1000"/>
        <w:jc w:val="right"/>
        <w:rPr>
          <w:rFonts w:ascii="宋体" w:cs="宋体"/>
          <w:color w:val="000000"/>
          <w:sz w:val="24"/>
          <w:szCs w:val="24"/>
        </w:rPr>
      </w:pPr>
      <w:r>
        <w:rPr>
          <w:rFonts w:hint="eastAsia" w:ascii="宋体" w:hAnsi="宋体" w:cs="宋体"/>
          <w:color w:val="000000"/>
          <w:sz w:val="24"/>
          <w:szCs w:val="24"/>
        </w:rPr>
        <w:t>法定代表人或被授权人：</w:t>
      </w:r>
      <w:r>
        <w:rPr>
          <w:rFonts w:ascii="宋体" w:hAnsi="宋体" w:cs="宋体"/>
          <w:color w:val="000000"/>
          <w:sz w:val="24"/>
          <w:szCs w:val="24"/>
          <w:u w:val="single"/>
        </w:rPr>
        <w:t xml:space="preserve">         </w:t>
      </w:r>
      <w:r>
        <w:rPr>
          <w:rFonts w:hint="eastAsia" w:ascii="宋体" w:hAnsi="宋体" w:cs="宋体"/>
          <w:color w:val="000000"/>
          <w:sz w:val="24"/>
          <w:szCs w:val="24"/>
        </w:rPr>
        <w:t>（签字或盖章）</w:t>
      </w:r>
    </w:p>
    <w:p>
      <w:pPr>
        <w:snapToGrid w:val="0"/>
        <w:spacing w:line="520" w:lineRule="exact"/>
        <w:jc w:val="right"/>
        <w:rPr>
          <w:rFonts w:ascii="宋体" w:cs="宋体"/>
          <w:color w:val="000000"/>
          <w:sz w:val="24"/>
          <w:szCs w:val="24"/>
        </w:rPr>
      </w:pP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pPr>
        <w:snapToGrid w:val="0"/>
        <w:spacing w:line="520" w:lineRule="exact"/>
        <w:jc w:val="center"/>
        <w:outlineLvl w:val="3"/>
        <w:rPr>
          <w:rFonts w:ascii="宋体" w:cs="宋体"/>
          <w:b/>
          <w:color w:val="000000"/>
          <w:sz w:val="28"/>
          <w:szCs w:val="28"/>
        </w:rPr>
      </w:pPr>
    </w:p>
    <w:p>
      <w:pPr>
        <w:snapToGrid w:val="0"/>
        <w:spacing w:line="520" w:lineRule="exact"/>
        <w:jc w:val="center"/>
        <w:outlineLvl w:val="3"/>
        <w:rPr>
          <w:rFonts w:ascii="宋体" w:cs="宋体"/>
          <w:b/>
          <w:color w:val="000000"/>
          <w:sz w:val="28"/>
          <w:szCs w:val="28"/>
        </w:rPr>
      </w:pPr>
    </w:p>
    <w:p>
      <w:pPr>
        <w:spacing w:line="480" w:lineRule="exact"/>
        <w:jc w:val="center"/>
        <w:rPr>
          <w:rFonts w:ascii="宋体" w:cs="宋体"/>
          <w:b/>
          <w:color w:val="000000"/>
          <w:sz w:val="28"/>
          <w:szCs w:val="28"/>
        </w:rPr>
      </w:pPr>
      <w:r>
        <w:rPr>
          <w:rFonts w:ascii="宋体"/>
          <w:b/>
          <w:bCs/>
          <w:color w:val="000000"/>
          <w:sz w:val="28"/>
          <w:szCs w:val="28"/>
        </w:rPr>
        <w:br w:type="page"/>
      </w:r>
      <w:bookmarkEnd w:id="64"/>
      <w:r>
        <w:rPr>
          <w:rFonts w:hint="eastAsia" w:ascii="宋体" w:hAnsi="宋体"/>
          <w:b/>
          <w:bCs/>
          <w:color w:val="000000"/>
          <w:sz w:val="28"/>
          <w:szCs w:val="28"/>
        </w:rPr>
        <w:t>6</w:t>
      </w:r>
      <w:r>
        <w:rPr>
          <w:rFonts w:hint="eastAsia" w:ascii="宋体" w:hAnsi="宋体" w:cs="宋体"/>
          <w:b/>
          <w:color w:val="000000"/>
          <w:sz w:val="28"/>
          <w:szCs w:val="28"/>
        </w:rPr>
        <w:t>、供应商一般情况表</w:t>
      </w:r>
    </w:p>
    <w:tbl>
      <w:tblPr>
        <w:tblStyle w:val="5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企业名称</w:t>
            </w:r>
          </w:p>
        </w:tc>
        <w:tc>
          <w:tcPr>
            <w:tcW w:w="7229" w:type="dxa"/>
            <w:gridSpan w:val="8"/>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总部地址</w:t>
            </w:r>
          </w:p>
        </w:tc>
        <w:tc>
          <w:tcPr>
            <w:tcW w:w="7229" w:type="dxa"/>
            <w:gridSpan w:val="8"/>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分支机构</w:t>
            </w:r>
          </w:p>
        </w:tc>
        <w:tc>
          <w:tcPr>
            <w:tcW w:w="7229" w:type="dxa"/>
            <w:gridSpan w:val="8"/>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当地代表处地址</w:t>
            </w:r>
          </w:p>
        </w:tc>
        <w:tc>
          <w:tcPr>
            <w:tcW w:w="7229" w:type="dxa"/>
            <w:gridSpan w:val="8"/>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电话</w:t>
            </w:r>
          </w:p>
        </w:tc>
        <w:tc>
          <w:tcPr>
            <w:tcW w:w="2408" w:type="dxa"/>
            <w:gridSpan w:val="3"/>
          </w:tcPr>
          <w:p>
            <w:pPr>
              <w:tabs>
                <w:tab w:val="left" w:pos="993"/>
              </w:tabs>
              <w:spacing w:line="520" w:lineRule="exact"/>
              <w:rPr>
                <w:rFonts w:ascii="宋体" w:cs="宋体"/>
                <w:color w:val="000000"/>
                <w:sz w:val="24"/>
                <w:szCs w:val="24"/>
              </w:rPr>
            </w:pPr>
          </w:p>
        </w:tc>
        <w:tc>
          <w:tcPr>
            <w:tcW w:w="1875" w:type="dxa"/>
            <w:gridSpan w:val="2"/>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联系人</w:t>
            </w:r>
          </w:p>
        </w:tc>
        <w:tc>
          <w:tcPr>
            <w:tcW w:w="2946" w:type="dxa"/>
            <w:gridSpan w:val="3"/>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传真</w:t>
            </w:r>
          </w:p>
        </w:tc>
        <w:tc>
          <w:tcPr>
            <w:tcW w:w="2408" w:type="dxa"/>
            <w:gridSpan w:val="3"/>
          </w:tcPr>
          <w:p>
            <w:pPr>
              <w:tabs>
                <w:tab w:val="left" w:pos="993"/>
              </w:tabs>
              <w:spacing w:line="520" w:lineRule="exact"/>
              <w:rPr>
                <w:rFonts w:ascii="宋体" w:cs="宋体"/>
                <w:color w:val="000000"/>
                <w:sz w:val="24"/>
                <w:szCs w:val="24"/>
              </w:rPr>
            </w:pPr>
          </w:p>
        </w:tc>
        <w:tc>
          <w:tcPr>
            <w:tcW w:w="1875" w:type="dxa"/>
            <w:gridSpan w:val="2"/>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电子邮件</w:t>
            </w:r>
          </w:p>
        </w:tc>
        <w:tc>
          <w:tcPr>
            <w:tcW w:w="2946" w:type="dxa"/>
            <w:gridSpan w:val="3"/>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注册地</w:t>
            </w:r>
          </w:p>
        </w:tc>
        <w:tc>
          <w:tcPr>
            <w:tcW w:w="2408" w:type="dxa"/>
            <w:gridSpan w:val="3"/>
          </w:tcPr>
          <w:p>
            <w:pPr>
              <w:tabs>
                <w:tab w:val="left" w:pos="993"/>
              </w:tabs>
              <w:spacing w:line="520" w:lineRule="exact"/>
              <w:rPr>
                <w:rFonts w:ascii="宋体" w:cs="宋体"/>
                <w:color w:val="000000"/>
                <w:sz w:val="24"/>
                <w:szCs w:val="24"/>
              </w:rPr>
            </w:pPr>
          </w:p>
        </w:tc>
        <w:tc>
          <w:tcPr>
            <w:tcW w:w="1875" w:type="dxa"/>
            <w:gridSpan w:val="2"/>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注册年份</w:t>
            </w:r>
          </w:p>
        </w:tc>
        <w:tc>
          <w:tcPr>
            <w:tcW w:w="2946" w:type="dxa"/>
            <w:gridSpan w:val="3"/>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资质等级</w:t>
            </w:r>
          </w:p>
        </w:tc>
        <w:tc>
          <w:tcPr>
            <w:tcW w:w="7229" w:type="dxa"/>
            <w:gridSpan w:val="8"/>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公司具备的相关资质等级及相应的证书号</w:t>
            </w:r>
          </w:p>
          <w:p>
            <w:pPr>
              <w:tabs>
                <w:tab w:val="left" w:pos="993"/>
              </w:tabs>
              <w:spacing w:line="520" w:lineRule="exact"/>
              <w:rPr>
                <w:rFonts w:ascii="宋体" w:cs="宋体"/>
                <w:color w:val="000000"/>
                <w:sz w:val="24"/>
                <w:szCs w:val="24"/>
              </w:rPr>
            </w:pPr>
            <w:r>
              <w:rPr>
                <w:rFonts w:hint="eastAsia"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质量管理体系</w:t>
            </w:r>
          </w:p>
        </w:tc>
        <w:tc>
          <w:tcPr>
            <w:tcW w:w="7229" w:type="dxa"/>
            <w:gridSpan w:val="8"/>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公司</w:t>
            </w:r>
            <w:r>
              <w:rPr>
                <w:rFonts w:ascii="宋体" w:hAnsi="宋体" w:cs="宋体"/>
                <w:color w:val="000000"/>
                <w:sz w:val="24"/>
                <w:szCs w:val="24"/>
                <w:u w:val="single"/>
              </w:rPr>
              <w:t xml:space="preserve">   </w:t>
            </w:r>
            <w:r>
              <w:rPr>
                <w:rFonts w:hint="eastAsia" w:ascii="宋体" w:hAnsi="宋体" w:cs="宋体"/>
                <w:color w:val="000000"/>
                <w:sz w:val="24"/>
                <w:szCs w:val="24"/>
                <w:u w:val="single"/>
              </w:rPr>
              <w:t>（是否通过，何种）</w:t>
            </w:r>
            <w:r>
              <w:rPr>
                <w:rFonts w:ascii="宋体" w:hAnsi="宋体" w:cs="宋体"/>
                <w:color w:val="000000"/>
                <w:sz w:val="24"/>
                <w:szCs w:val="24"/>
                <w:u w:val="single"/>
              </w:rPr>
              <w:t xml:space="preserve">   </w:t>
            </w:r>
            <w:r>
              <w:rPr>
                <w:rFonts w:hint="eastAsia" w:ascii="宋体" w:hAnsi="宋体" w:cs="宋体"/>
                <w:color w:val="000000"/>
                <w:sz w:val="24"/>
                <w:szCs w:val="24"/>
              </w:rPr>
              <w:t>质量保证体系认证（如通过请附相关在有效期内的证书复印件）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项目负责人</w:t>
            </w:r>
          </w:p>
        </w:tc>
        <w:tc>
          <w:tcPr>
            <w:tcW w:w="1559" w:type="dxa"/>
            <w:gridSpan w:val="2"/>
          </w:tcPr>
          <w:p>
            <w:pPr>
              <w:tabs>
                <w:tab w:val="left" w:pos="993"/>
              </w:tabs>
              <w:spacing w:line="520" w:lineRule="exact"/>
              <w:jc w:val="center"/>
              <w:rPr>
                <w:rFonts w:ascii="宋体" w:cs="宋体"/>
                <w:color w:val="000000"/>
                <w:sz w:val="24"/>
                <w:szCs w:val="24"/>
              </w:rPr>
            </w:pPr>
          </w:p>
        </w:tc>
        <w:tc>
          <w:tcPr>
            <w:tcW w:w="1417" w:type="dxa"/>
            <w:gridSpan w:val="2"/>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年龄</w:t>
            </w:r>
          </w:p>
        </w:tc>
        <w:tc>
          <w:tcPr>
            <w:tcW w:w="1466" w:type="dxa"/>
            <w:gridSpan w:val="2"/>
          </w:tcPr>
          <w:p>
            <w:pPr>
              <w:tabs>
                <w:tab w:val="left" w:pos="993"/>
              </w:tabs>
              <w:spacing w:line="520" w:lineRule="exact"/>
              <w:jc w:val="center"/>
              <w:rPr>
                <w:rFonts w:ascii="宋体" w:cs="宋体"/>
                <w:color w:val="000000"/>
                <w:sz w:val="24"/>
                <w:szCs w:val="24"/>
              </w:rPr>
            </w:pPr>
          </w:p>
        </w:tc>
        <w:tc>
          <w:tcPr>
            <w:tcW w:w="1320" w:type="dxa"/>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性别</w:t>
            </w:r>
          </w:p>
        </w:tc>
        <w:tc>
          <w:tcPr>
            <w:tcW w:w="1467" w:type="dxa"/>
          </w:tcPr>
          <w:p>
            <w:pPr>
              <w:tabs>
                <w:tab w:val="left" w:pos="993"/>
              </w:tabs>
              <w:spacing w:line="520" w:lineRule="exact"/>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职务职称</w:t>
            </w:r>
          </w:p>
        </w:tc>
        <w:tc>
          <w:tcPr>
            <w:tcW w:w="2976" w:type="dxa"/>
            <w:gridSpan w:val="4"/>
          </w:tcPr>
          <w:p>
            <w:pPr>
              <w:tabs>
                <w:tab w:val="left" w:pos="993"/>
              </w:tabs>
              <w:spacing w:line="520" w:lineRule="exact"/>
              <w:rPr>
                <w:rFonts w:ascii="宋体" w:cs="宋体"/>
                <w:color w:val="000000"/>
                <w:sz w:val="24"/>
                <w:szCs w:val="24"/>
              </w:rPr>
            </w:pPr>
          </w:p>
        </w:tc>
        <w:tc>
          <w:tcPr>
            <w:tcW w:w="1466" w:type="dxa"/>
            <w:gridSpan w:val="2"/>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执业资格</w:t>
            </w:r>
          </w:p>
        </w:tc>
        <w:tc>
          <w:tcPr>
            <w:tcW w:w="2787" w:type="dxa"/>
            <w:gridSpan w:val="2"/>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235" w:type="dxa"/>
            <w:vAlign w:val="center"/>
          </w:tcPr>
          <w:p>
            <w:pPr>
              <w:tabs>
                <w:tab w:val="left" w:pos="993"/>
              </w:tabs>
              <w:spacing w:line="520" w:lineRule="exact"/>
              <w:jc w:val="center"/>
              <w:rPr>
                <w:rFonts w:ascii="宋体" w:cs="宋体"/>
                <w:color w:val="000000"/>
                <w:sz w:val="24"/>
                <w:szCs w:val="24"/>
              </w:rPr>
            </w:pPr>
            <w:r>
              <w:rPr>
                <w:rFonts w:hint="eastAsia" w:ascii="宋体" w:hAnsi="宋体" w:cs="宋体"/>
                <w:color w:val="000000"/>
                <w:sz w:val="24"/>
                <w:szCs w:val="24"/>
              </w:rPr>
              <w:t>经营范围</w:t>
            </w:r>
          </w:p>
        </w:tc>
        <w:tc>
          <w:tcPr>
            <w:tcW w:w="7229" w:type="dxa"/>
            <w:gridSpan w:val="8"/>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营业执照载明：</w:t>
            </w:r>
          </w:p>
          <w:p>
            <w:pPr>
              <w:tabs>
                <w:tab w:val="left" w:pos="993"/>
              </w:tabs>
              <w:spacing w:line="520" w:lineRule="exact"/>
              <w:rPr>
                <w:rFonts w:ascii="宋体" w:cs="宋体"/>
                <w:color w:val="000000"/>
                <w:sz w:val="24"/>
                <w:szCs w:val="24"/>
                <w:u w:val="single"/>
              </w:rPr>
            </w:pPr>
            <w:r>
              <w:rPr>
                <w:rFonts w:ascii="宋体" w:hAnsi="宋体" w:cs="宋体"/>
                <w:color w:val="000000"/>
                <w:sz w:val="24"/>
                <w:szCs w:val="24"/>
              </w:rPr>
              <w:t>1.</w:t>
            </w:r>
            <w:r>
              <w:rPr>
                <w:rFonts w:ascii="宋体" w:hAnsi="宋体" w:cs="宋体"/>
                <w:color w:val="000000"/>
                <w:sz w:val="24"/>
                <w:szCs w:val="24"/>
                <w:u w:val="single"/>
              </w:rPr>
              <w:t xml:space="preserve">                                               </w:t>
            </w:r>
          </w:p>
          <w:p>
            <w:pPr>
              <w:tabs>
                <w:tab w:val="left" w:pos="993"/>
              </w:tabs>
              <w:spacing w:line="520" w:lineRule="exact"/>
              <w:rPr>
                <w:rFonts w:ascii="宋体" w:cs="宋体"/>
                <w:color w:val="000000"/>
                <w:sz w:val="24"/>
                <w:szCs w:val="24"/>
                <w:u w:val="single"/>
              </w:rPr>
            </w:pPr>
            <w:r>
              <w:rPr>
                <w:rFonts w:ascii="宋体" w:hAnsi="宋体" w:cs="宋体"/>
                <w:color w:val="000000"/>
                <w:sz w:val="24"/>
                <w:szCs w:val="24"/>
              </w:rPr>
              <w:t>2.</w:t>
            </w:r>
            <w:r>
              <w:rPr>
                <w:rFonts w:ascii="宋体" w:hAnsi="宋体" w:cs="宋体"/>
                <w:color w:val="000000"/>
                <w:sz w:val="24"/>
                <w:szCs w:val="24"/>
                <w:u w:val="single"/>
              </w:rPr>
              <w:t xml:space="preserve">                                               </w:t>
            </w:r>
          </w:p>
          <w:p>
            <w:pPr>
              <w:tabs>
                <w:tab w:val="left" w:pos="993"/>
              </w:tabs>
              <w:spacing w:line="520" w:lineRule="exact"/>
              <w:rPr>
                <w:rFonts w:ascii="宋体" w:cs="宋体"/>
                <w:color w:val="000000"/>
                <w:sz w:val="24"/>
                <w:szCs w:val="24"/>
                <w:u w:val="single"/>
              </w:rPr>
            </w:pPr>
            <w:r>
              <w:rPr>
                <w:rFonts w:ascii="宋体" w:hAnsi="宋体" w:cs="宋体"/>
                <w:color w:val="000000"/>
                <w:sz w:val="24"/>
                <w:szCs w:val="24"/>
              </w:rPr>
              <w:t>3.</w:t>
            </w:r>
            <w:r>
              <w:rPr>
                <w:rFonts w:ascii="宋体" w:hAnsi="宋体" w:cs="宋体"/>
                <w:color w:val="000000"/>
                <w:sz w:val="24"/>
                <w:szCs w:val="24"/>
                <w:u w:val="single"/>
              </w:rPr>
              <w:t xml:space="preserve">                                               </w:t>
            </w:r>
          </w:p>
          <w:p>
            <w:pPr>
              <w:tabs>
                <w:tab w:val="left" w:pos="993"/>
              </w:tabs>
              <w:spacing w:line="520" w:lineRule="exact"/>
              <w:rPr>
                <w:rFonts w:asci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从事类似相关项目的经历及年数</w:t>
            </w:r>
          </w:p>
        </w:tc>
        <w:tc>
          <w:tcPr>
            <w:tcW w:w="6521" w:type="dxa"/>
            <w:gridSpan w:val="7"/>
          </w:tcPr>
          <w:p>
            <w:pPr>
              <w:tabs>
                <w:tab w:val="left" w:pos="993"/>
              </w:tabs>
              <w:spacing w:line="520" w:lineRule="exact"/>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pPr>
              <w:tabs>
                <w:tab w:val="left" w:pos="993"/>
              </w:tabs>
              <w:spacing w:line="520" w:lineRule="exact"/>
              <w:rPr>
                <w:rFonts w:asci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tcPr>
          <w:p>
            <w:pPr>
              <w:tabs>
                <w:tab w:val="left" w:pos="993"/>
              </w:tabs>
              <w:spacing w:line="520" w:lineRule="exact"/>
              <w:rPr>
                <w:rFonts w:ascii="宋体" w:cs="宋体"/>
                <w:color w:val="000000"/>
                <w:sz w:val="24"/>
                <w:szCs w:val="24"/>
              </w:rPr>
            </w:pPr>
          </w:p>
        </w:tc>
      </w:tr>
    </w:tbl>
    <w:p>
      <w:pPr>
        <w:snapToGrid w:val="0"/>
        <w:spacing w:line="520" w:lineRule="exact"/>
        <w:rPr>
          <w:rFonts w:ascii="宋体" w:cs="宋体"/>
          <w:bCs/>
          <w:color w:val="000000"/>
          <w:sz w:val="24"/>
          <w:szCs w:val="24"/>
        </w:rPr>
      </w:pPr>
      <w:r>
        <w:rPr>
          <w:rFonts w:hint="eastAsia" w:ascii="宋体" w:hAnsi="宋体" w:cs="宋体"/>
          <w:color w:val="000000"/>
          <w:sz w:val="24"/>
          <w:szCs w:val="24"/>
        </w:rPr>
        <w:t>竞争性磋商响应单位</w:t>
      </w:r>
      <w:r>
        <w:rPr>
          <w:rFonts w:hint="eastAsia" w:ascii="宋体" w:hAnsi="宋体" w:cs="宋体"/>
          <w:bCs/>
          <w:color w:val="000000"/>
          <w:sz w:val="24"/>
          <w:szCs w:val="24"/>
        </w:rPr>
        <w:t>：（盖章）</w:t>
      </w:r>
      <w:r>
        <w:rPr>
          <w:rFonts w:ascii="宋体" w:hAnsi="宋体" w:cs="宋体"/>
          <w:bCs/>
          <w:color w:val="000000"/>
          <w:sz w:val="24"/>
          <w:szCs w:val="24"/>
        </w:rPr>
        <w:t xml:space="preserve">             </w:t>
      </w:r>
    </w:p>
    <w:p>
      <w:pPr>
        <w:snapToGrid w:val="0"/>
        <w:spacing w:line="520" w:lineRule="exact"/>
        <w:rPr>
          <w:rFonts w:ascii="宋体" w:cs="宋体"/>
          <w:bCs/>
          <w:color w:val="000000"/>
          <w:sz w:val="24"/>
          <w:szCs w:val="24"/>
        </w:rPr>
      </w:pPr>
      <w:r>
        <w:rPr>
          <w:rFonts w:hint="eastAsia" w:ascii="宋体" w:hAnsi="宋体" w:cs="宋体"/>
          <w:bCs/>
          <w:color w:val="000000"/>
          <w:sz w:val="24"/>
          <w:szCs w:val="24"/>
        </w:rPr>
        <w:t>法定代表人或被授权人（签字或盖章）：</w:t>
      </w:r>
      <w:r>
        <w:rPr>
          <w:rFonts w:ascii="宋体" w:hAnsi="宋体" w:cs="宋体"/>
          <w:bCs/>
          <w:color w:val="000000"/>
          <w:sz w:val="24"/>
          <w:szCs w:val="24"/>
        </w:rPr>
        <w:t xml:space="preserve">  </w:t>
      </w:r>
    </w:p>
    <w:p>
      <w:pPr>
        <w:snapToGrid w:val="0"/>
        <w:spacing w:line="520" w:lineRule="exact"/>
        <w:rPr>
          <w:rFonts w:ascii="宋体" w:cs="宋体"/>
          <w:bCs/>
          <w:color w:val="000000"/>
          <w:sz w:val="24"/>
          <w:szCs w:val="24"/>
        </w:rPr>
      </w:pPr>
      <w:r>
        <w:rPr>
          <w:rFonts w:hint="eastAsia" w:ascii="宋体" w:hAnsi="宋体" w:cs="宋体"/>
          <w:bCs/>
          <w:color w:val="000000"/>
          <w:sz w:val="24"/>
          <w:szCs w:val="24"/>
        </w:rPr>
        <w:t>日期：</w:t>
      </w:r>
    </w:p>
    <w:p>
      <w:pPr>
        <w:adjustRightInd w:val="0"/>
        <w:snapToGrid w:val="0"/>
        <w:spacing w:line="500" w:lineRule="exact"/>
        <w:jc w:val="center"/>
        <w:rPr>
          <w:rFonts w:ascii="宋体" w:cs="宋体"/>
          <w:b/>
          <w:bCs/>
          <w:color w:val="000000"/>
          <w:sz w:val="28"/>
          <w:szCs w:val="28"/>
        </w:rPr>
      </w:pPr>
      <w:r>
        <w:rPr>
          <w:rFonts w:hint="eastAsia" w:ascii="宋体" w:hAnsi="宋体" w:cs="宋体"/>
          <w:b/>
          <w:bCs/>
          <w:color w:val="000000"/>
          <w:sz w:val="28"/>
          <w:szCs w:val="28"/>
        </w:rPr>
        <w:t>7、</w:t>
      </w:r>
      <w:r>
        <w:rPr>
          <w:rFonts w:hint="eastAsia" w:ascii="宋体" w:hAnsi="宋体" w:cs="宋体"/>
          <w:b/>
          <w:sz w:val="28"/>
          <w:szCs w:val="28"/>
        </w:rPr>
        <w:t>磋商响应报价总表</w:t>
      </w:r>
      <w:r>
        <w:rPr>
          <w:rStyle w:val="58"/>
          <w:rFonts w:ascii="宋体" w:hAnsi="宋体" w:eastAsia="宋体"/>
          <w:b w:val="0"/>
          <w:sz w:val="28"/>
          <w:szCs w:val="28"/>
        </w:rPr>
        <w:t xml:space="preserve"> </w:t>
      </w:r>
    </w:p>
    <w:p>
      <w:pPr>
        <w:pStyle w:val="96"/>
        <w:spacing w:line="360" w:lineRule="auto"/>
        <w:rPr>
          <w:rFonts w:hint="eastAsia" w:hAnsi="宋体" w:cs="宋体"/>
          <w:sz w:val="24"/>
        </w:rPr>
      </w:pPr>
      <w:r>
        <w:rPr>
          <w:rFonts w:hint="eastAsia" w:hAnsi="宋体" w:cs="宋体"/>
          <w:sz w:val="24"/>
          <w:u w:val="single"/>
        </w:rPr>
        <w:t>南通市文化馆：</w:t>
      </w:r>
      <w:r>
        <w:rPr>
          <w:rFonts w:hAnsi="宋体" w:cs="宋体"/>
          <w:sz w:val="24"/>
        </w:rPr>
        <w:t xml:space="preserve"> </w:t>
      </w:r>
    </w:p>
    <w:p>
      <w:pPr>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、我方已仔细研究了南通市文化馆绿化养护及绿植租摆项目的</w:t>
      </w:r>
      <w:r>
        <w:rPr>
          <w:rFonts w:hint="eastAsia" w:ascii="宋体" w:hAnsi="宋体" w:cs="宋体"/>
          <w:kern w:val="0"/>
          <w:sz w:val="24"/>
          <w:szCs w:val="24"/>
        </w:rPr>
        <w:t>竞争性磋商文件</w:t>
      </w:r>
      <w:r>
        <w:rPr>
          <w:rFonts w:hint="eastAsia" w:ascii="宋体" w:hAnsi="宋体"/>
          <w:sz w:val="24"/>
          <w:szCs w:val="24"/>
        </w:rPr>
        <w:t>的全部内容，愿意就该项目给出如下报价：</w:t>
      </w:r>
    </w:p>
    <w:p>
      <w:pPr>
        <w:spacing w:line="360" w:lineRule="auto"/>
        <w:jc w:val="left"/>
        <w:rPr>
          <w:rFonts w:ascii="宋体"/>
          <w:sz w:val="24"/>
          <w:szCs w:val="24"/>
        </w:rPr>
      </w:pPr>
      <w:r>
        <w:rPr>
          <w:rFonts w:hint="eastAsia" w:ascii="宋体" w:hAnsi="宋体"/>
          <w:sz w:val="24"/>
          <w:szCs w:val="24"/>
        </w:rPr>
        <w:t>磋商报价总计（首次）</w:t>
      </w:r>
      <w:r>
        <w:rPr>
          <w:sz w:val="24"/>
          <w:szCs w:val="24"/>
        </w:rPr>
        <w:t>：¥</w:t>
      </w:r>
      <w:r>
        <w:rPr>
          <w:rFonts w:ascii="宋体" w:hAnsi="宋体"/>
          <w:sz w:val="24"/>
          <w:szCs w:val="24"/>
          <w:u w:val="single"/>
        </w:rPr>
        <w:t xml:space="preserve">           </w:t>
      </w:r>
      <w:r>
        <w:rPr>
          <w:rFonts w:hint="eastAsia" w:ascii="宋体" w:hAnsi="宋体"/>
          <w:sz w:val="24"/>
          <w:szCs w:val="24"/>
        </w:rPr>
        <w:t>元，大写：人民币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元；</w:t>
      </w:r>
    </w:p>
    <w:p>
      <w:pPr>
        <w:spacing w:line="360" w:lineRule="auto"/>
        <w:jc w:val="left"/>
        <w:rPr>
          <w:sz w:val="24"/>
          <w:szCs w:val="24"/>
        </w:rPr>
      </w:pPr>
      <w:r>
        <w:rPr>
          <w:sz w:val="24"/>
          <w:szCs w:val="24"/>
        </w:rPr>
        <w:t>现场第二次报价（最终）：¥</w:t>
      </w:r>
      <w:r>
        <w:rPr>
          <w:rFonts w:ascii="宋体" w:hAnsi="宋体"/>
          <w:sz w:val="24"/>
          <w:szCs w:val="24"/>
          <w:u w:val="single"/>
        </w:rPr>
        <w:t xml:space="preserve">           </w:t>
      </w:r>
      <w:r>
        <w:rPr>
          <w:rFonts w:hint="eastAsia" w:ascii="宋体" w:hAnsi="宋体"/>
          <w:sz w:val="24"/>
          <w:szCs w:val="24"/>
        </w:rPr>
        <w:t>元，大写：人民币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元。</w:t>
      </w:r>
    </w:p>
    <w:p>
      <w:pPr>
        <w:snapToGrid w:val="0"/>
        <w:spacing w:line="520" w:lineRule="exact"/>
        <w:ind w:firstLine="496" w:firstLineChars="206"/>
        <w:rPr>
          <w:b/>
          <w:sz w:val="24"/>
          <w:szCs w:val="24"/>
        </w:rPr>
      </w:pPr>
      <w:r>
        <w:rPr>
          <w:b/>
          <w:sz w:val="24"/>
          <w:szCs w:val="24"/>
        </w:rPr>
        <w:t>注：第二次报价即最终报价将在开标现场填写，响应文件密封提交时只需填写磋商报价总计（首次）。且第二次（最终）报价时，磋商响应报价明细表按同比例下浮。</w:t>
      </w:r>
    </w:p>
    <w:p>
      <w:pPr>
        <w:spacing w:line="360" w:lineRule="auto"/>
        <w:ind w:firstLine="480" w:firstLineChars="200"/>
        <w:jc w:val="left"/>
        <w:rPr>
          <w:rFonts w:ascii="宋体"/>
          <w:sz w:val="24"/>
          <w:szCs w:val="24"/>
        </w:rPr>
      </w:pPr>
      <w:r>
        <w:rPr>
          <w:rFonts w:ascii="宋体" w:hAnsi="宋体"/>
          <w:sz w:val="24"/>
          <w:szCs w:val="24"/>
        </w:rPr>
        <w:t>2</w:t>
      </w:r>
      <w:r>
        <w:rPr>
          <w:rFonts w:hint="eastAsia" w:ascii="宋体" w:hAnsi="宋体"/>
          <w:sz w:val="24"/>
          <w:szCs w:val="24"/>
        </w:rPr>
        <w:t>、我方承诺在服务期限内，按竞</w:t>
      </w:r>
      <w:r>
        <w:rPr>
          <w:rFonts w:hint="eastAsia" w:ascii="宋体" w:hAnsi="宋体" w:cs="宋体"/>
          <w:sz w:val="24"/>
          <w:szCs w:val="24"/>
        </w:rPr>
        <w:t>争性磋商文件的规定履行合同责任和义务</w:t>
      </w:r>
      <w:r>
        <w:rPr>
          <w:rFonts w:hint="eastAsia" w:ascii="宋体" w:hAnsi="宋体"/>
          <w:sz w:val="24"/>
          <w:szCs w:val="24"/>
        </w:rPr>
        <w:t>，实现服务目标。</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、我方承诺在竞争性磋商文件规定的投标有效期内不修改、撤销响应文件。</w:t>
      </w:r>
    </w:p>
    <w:p>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、我方成交：</w:t>
      </w:r>
    </w:p>
    <w:p>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）我方承诺在收到成交通知书后，在成交通知书规定的期限内与你方签订合同。</w:t>
      </w:r>
    </w:p>
    <w:p>
      <w:pPr>
        <w:spacing w:line="360" w:lineRule="auto"/>
        <w:ind w:firstLine="240" w:firstLineChars="100"/>
        <w:rPr>
          <w:rFonts w:ascii="宋体"/>
          <w:sz w:val="24"/>
          <w:szCs w:val="24"/>
        </w:rPr>
      </w:pPr>
      <w:r>
        <w:rPr>
          <w:rFonts w:hint="eastAsia" w:ascii="宋体" w:hAnsi="宋体"/>
          <w:sz w:val="24"/>
          <w:szCs w:val="24"/>
        </w:rPr>
        <w:t>（2）我方将严格履行本响应文件中的全部承诺和责任，并遵守竞争性磋商文件中对投标单位的所有规定。</w:t>
      </w:r>
    </w:p>
    <w:p>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、我方在此声明，所递交的响应文件及有关资料内容完整、真实和准确。</w:t>
      </w:r>
      <w:r>
        <w:rPr>
          <w:rFonts w:ascii="宋体" w:hAnsi="宋体"/>
          <w:sz w:val="24"/>
          <w:szCs w:val="24"/>
        </w:rPr>
        <w:t xml:space="preserve">  </w:t>
      </w:r>
    </w:p>
    <w:p>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rPr>
        <w:t>（其他补充说明）。</w:t>
      </w:r>
    </w:p>
    <w:p>
      <w:pPr>
        <w:pStyle w:val="96"/>
        <w:tabs>
          <w:tab w:val="left" w:pos="5665"/>
          <w:tab w:val="right" w:pos="8360"/>
        </w:tabs>
        <w:spacing w:line="360" w:lineRule="auto"/>
        <w:ind w:right="42" w:firstLine="1560" w:firstLineChars="650"/>
        <w:rPr>
          <w:rFonts w:hint="eastAsia" w:hAnsi="宋体" w:cs="宋体"/>
          <w:sz w:val="24"/>
        </w:rPr>
      </w:pPr>
    </w:p>
    <w:p>
      <w:pPr>
        <w:pStyle w:val="96"/>
        <w:tabs>
          <w:tab w:val="left" w:pos="5665"/>
          <w:tab w:val="right" w:pos="8360"/>
        </w:tabs>
        <w:spacing w:line="360" w:lineRule="auto"/>
        <w:ind w:right="42" w:firstLine="480" w:firstLineChars="200"/>
        <w:jc w:val="left"/>
        <w:rPr>
          <w:rFonts w:hint="eastAsia" w:hAnsi="宋体" w:cs="宋体"/>
          <w:sz w:val="24"/>
          <w:u w:val="single"/>
        </w:rPr>
      </w:pPr>
      <w:r>
        <w:rPr>
          <w:rFonts w:hint="eastAsia" w:hAnsi="宋体" w:cs="宋体"/>
          <w:sz w:val="24"/>
        </w:rPr>
        <w:t>竞争性磋商响应单位（公章</w:t>
      </w:r>
      <w:r>
        <w:rPr>
          <w:rFonts w:hAnsi="宋体" w:cs="宋体"/>
          <w:sz w:val="24"/>
        </w:rPr>
        <w:t>)</w:t>
      </w:r>
      <w:r>
        <w:rPr>
          <w:rFonts w:hint="eastAsia" w:hAnsi="宋体" w:cs="宋体"/>
          <w:sz w:val="24"/>
        </w:rPr>
        <w:t>：</w:t>
      </w:r>
      <w:r>
        <w:rPr>
          <w:rFonts w:hAnsi="宋体" w:cs="宋体"/>
          <w:sz w:val="24"/>
          <w:u w:val="single"/>
        </w:rPr>
        <w:t xml:space="preserve">                                  </w:t>
      </w:r>
    </w:p>
    <w:p>
      <w:pPr>
        <w:pStyle w:val="96"/>
        <w:tabs>
          <w:tab w:val="left" w:pos="5665"/>
          <w:tab w:val="right" w:pos="8360"/>
        </w:tabs>
        <w:spacing w:line="360" w:lineRule="auto"/>
        <w:ind w:right="42"/>
        <w:rPr>
          <w:rFonts w:hint="eastAsia" w:hAnsi="宋体" w:cs="宋体"/>
          <w:sz w:val="24"/>
          <w:u w:val="single"/>
        </w:rPr>
      </w:pPr>
    </w:p>
    <w:p>
      <w:pPr>
        <w:pStyle w:val="96"/>
        <w:tabs>
          <w:tab w:val="left" w:pos="5665"/>
          <w:tab w:val="right" w:pos="8360"/>
        </w:tabs>
        <w:spacing w:line="360" w:lineRule="auto"/>
        <w:ind w:right="42" w:firstLine="480" w:firstLineChars="200"/>
        <w:rPr>
          <w:rFonts w:hint="eastAsia" w:hAnsi="宋体" w:cs="宋体"/>
          <w:sz w:val="24"/>
          <w:u w:val="single"/>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Ansi="宋体" w:cs="宋体"/>
          <w:sz w:val="24"/>
          <w:u w:val="single"/>
        </w:rPr>
        <w:t xml:space="preserve">               </w:t>
      </w:r>
      <w:r>
        <w:rPr>
          <w:rFonts w:hAnsi="宋体" w:cs="宋体"/>
          <w:sz w:val="24"/>
        </w:rPr>
        <w:t xml:space="preserve">   </w:t>
      </w:r>
    </w:p>
    <w:p>
      <w:pPr>
        <w:pStyle w:val="96"/>
        <w:tabs>
          <w:tab w:val="left" w:pos="5665"/>
          <w:tab w:val="right" w:pos="8360"/>
        </w:tabs>
        <w:spacing w:line="360" w:lineRule="auto"/>
        <w:ind w:right="42"/>
        <w:rPr>
          <w:rFonts w:hint="eastAsia" w:hAnsi="宋体" w:cs="宋体"/>
          <w:sz w:val="24"/>
        </w:rPr>
      </w:pPr>
    </w:p>
    <w:p>
      <w:pPr>
        <w:pStyle w:val="96"/>
        <w:tabs>
          <w:tab w:val="left" w:pos="5665"/>
          <w:tab w:val="right" w:pos="8360"/>
        </w:tabs>
        <w:spacing w:line="360" w:lineRule="auto"/>
        <w:ind w:right="42" w:firstLine="480" w:firstLineChars="200"/>
        <w:jc w:val="left"/>
        <w:rPr>
          <w:rFonts w:hint="eastAsia" w:hAnsi="宋体" w:cs="宋体"/>
          <w:szCs w:val="28"/>
          <w:u w:val="single"/>
        </w:rPr>
        <w:sectPr>
          <w:headerReference r:id="rId12" w:type="first"/>
          <w:footerReference r:id="rId14" w:type="first"/>
          <w:headerReference r:id="rId11" w:type="default"/>
          <w:footerReference r:id="rId13" w:type="default"/>
          <w:pgSz w:w="11906" w:h="16838"/>
          <w:pgMar w:top="1134" w:right="1134" w:bottom="1134" w:left="1621" w:header="851" w:footer="992" w:gutter="0"/>
          <w:pgNumType w:fmt="numberInDash"/>
          <w:cols w:space="720" w:num="1"/>
          <w:docGrid w:linePitch="312" w:charSpace="0"/>
        </w:sectPr>
      </w:pPr>
      <w:r>
        <w:rPr>
          <w:rFonts w:hint="eastAsia" w:hAnsi="宋体" w:cs="宋体"/>
          <w:sz w:val="24"/>
        </w:rPr>
        <w:t>日</w:t>
      </w:r>
      <w:r>
        <w:rPr>
          <w:rFonts w:hAnsi="宋体" w:cs="宋体"/>
          <w:sz w:val="24"/>
        </w:rPr>
        <w:t xml:space="preserve">    </w:t>
      </w:r>
      <w:r>
        <w:rPr>
          <w:rFonts w:hint="eastAsia" w:hAnsi="宋体" w:cs="宋体"/>
          <w:sz w:val="24"/>
        </w:rPr>
        <w:t>期：</w:t>
      </w:r>
      <w:r>
        <w:rPr>
          <w:rFonts w:hAnsi="宋体" w:cs="宋体"/>
          <w:sz w:val="24"/>
          <w:u w:val="single"/>
        </w:rPr>
        <w:t xml:space="preserve">                                     </w:t>
      </w:r>
      <w:r>
        <w:rPr>
          <w:rFonts w:hAnsi="宋体" w:cs="宋体"/>
          <w:szCs w:val="28"/>
          <w:u w:val="single"/>
        </w:rPr>
        <w:t xml:space="preserve">   </w:t>
      </w:r>
    </w:p>
    <w:p>
      <w:pPr>
        <w:pStyle w:val="111"/>
        <w:numPr>
          <w:ilvl w:val="0"/>
          <w:numId w:val="6"/>
        </w:numPr>
        <w:spacing w:line="360" w:lineRule="auto"/>
        <w:ind w:firstLineChars="0"/>
        <w:jc w:val="center"/>
        <w:rPr>
          <w:rFonts w:hint="eastAsia" w:ascii="宋体" w:hAnsi="宋体" w:cs="宋体"/>
          <w:b/>
          <w:color w:val="000000"/>
          <w:sz w:val="28"/>
          <w:szCs w:val="28"/>
        </w:rPr>
      </w:pPr>
      <w:r>
        <w:rPr>
          <w:rFonts w:hint="eastAsia" w:ascii="宋体" w:hAnsi="宋体" w:cs="宋体"/>
          <w:b/>
          <w:color w:val="000000"/>
          <w:sz w:val="28"/>
          <w:szCs w:val="28"/>
        </w:rPr>
        <w:t>磋商响应报价明细表</w:t>
      </w:r>
    </w:p>
    <w:tbl>
      <w:tblPr>
        <w:tblStyle w:val="50"/>
        <w:tblW w:w="12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558"/>
        <w:gridCol w:w="1629"/>
        <w:gridCol w:w="1101"/>
        <w:gridCol w:w="1762"/>
        <w:gridCol w:w="1513"/>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2291" w:type="dxa"/>
            <w:gridSpan w:val="7"/>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一、养护费用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2017" w:type="dxa"/>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费用名称</w:t>
            </w:r>
          </w:p>
        </w:tc>
        <w:tc>
          <w:tcPr>
            <w:tcW w:w="2558" w:type="dxa"/>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养护地点</w:t>
            </w:r>
          </w:p>
        </w:tc>
        <w:tc>
          <w:tcPr>
            <w:tcW w:w="1629" w:type="dxa"/>
            <w:vAlign w:val="center"/>
          </w:tcPr>
          <w:p>
            <w:pPr>
              <w:tabs>
                <w:tab w:val="left" w:pos="6120"/>
              </w:tabs>
              <w:spacing w:line="500" w:lineRule="exact"/>
              <w:jc w:val="center"/>
              <w:rPr>
                <w:rFonts w:hint="eastAsia" w:cs="仿宋" w:asciiTheme="majorEastAsia" w:hAnsiTheme="majorEastAsia" w:eastAsiaTheme="majorEastAsia"/>
                <w:b/>
                <w:spacing w:val="-20"/>
                <w:sz w:val="24"/>
                <w:szCs w:val="24"/>
              </w:rPr>
            </w:pPr>
            <w:r>
              <w:rPr>
                <w:rFonts w:hint="eastAsia" w:cs="仿宋" w:asciiTheme="majorEastAsia" w:hAnsiTheme="majorEastAsia" w:eastAsiaTheme="majorEastAsia"/>
                <w:b/>
                <w:spacing w:val="-20"/>
                <w:sz w:val="24"/>
                <w:szCs w:val="24"/>
              </w:rPr>
              <w:t>单位</w:t>
            </w:r>
          </w:p>
        </w:tc>
        <w:tc>
          <w:tcPr>
            <w:tcW w:w="1101" w:type="dxa"/>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数量</w:t>
            </w:r>
          </w:p>
        </w:tc>
        <w:tc>
          <w:tcPr>
            <w:tcW w:w="3275" w:type="dxa"/>
            <w:gridSpan w:val="2"/>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养护部分总价（元）</w:t>
            </w:r>
          </w:p>
        </w:tc>
        <w:tc>
          <w:tcPr>
            <w:tcW w:w="1711" w:type="dxa"/>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exact"/>
        </w:trPr>
        <w:tc>
          <w:tcPr>
            <w:tcW w:w="2017" w:type="dxa"/>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绿化养护</w:t>
            </w:r>
          </w:p>
        </w:tc>
        <w:tc>
          <w:tcPr>
            <w:tcW w:w="2558" w:type="dxa"/>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南通群英馆、伶工学社</w:t>
            </w:r>
          </w:p>
        </w:tc>
        <w:tc>
          <w:tcPr>
            <w:tcW w:w="1629" w:type="dxa"/>
            <w:vAlign w:val="center"/>
          </w:tcPr>
          <w:p>
            <w:pPr>
              <w:tabs>
                <w:tab w:val="left" w:pos="6120"/>
              </w:tabs>
              <w:spacing w:line="500" w:lineRule="exact"/>
              <w:jc w:val="center"/>
              <w:rPr>
                <w:rFonts w:hint="eastAsia" w:cs="仿宋" w:asciiTheme="majorEastAsia" w:hAnsiTheme="majorEastAsia" w:eastAsiaTheme="majorEastAsia"/>
                <w:b/>
                <w:spacing w:val="-20"/>
                <w:sz w:val="24"/>
                <w:szCs w:val="24"/>
              </w:rPr>
            </w:pPr>
            <w:r>
              <w:rPr>
                <w:rFonts w:hint="eastAsia" w:cs="仿宋" w:asciiTheme="majorEastAsia" w:hAnsiTheme="majorEastAsia" w:eastAsiaTheme="majorEastAsia"/>
                <w:b/>
                <w:spacing w:val="-20"/>
                <w:sz w:val="24"/>
                <w:szCs w:val="24"/>
              </w:rPr>
              <w:t>月</w:t>
            </w:r>
          </w:p>
        </w:tc>
        <w:tc>
          <w:tcPr>
            <w:tcW w:w="1101" w:type="dxa"/>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11</w:t>
            </w:r>
          </w:p>
        </w:tc>
        <w:tc>
          <w:tcPr>
            <w:tcW w:w="3275" w:type="dxa"/>
            <w:gridSpan w:val="2"/>
          </w:tcPr>
          <w:p>
            <w:pPr>
              <w:tabs>
                <w:tab w:val="left" w:pos="6120"/>
              </w:tabs>
              <w:spacing w:line="500" w:lineRule="exact"/>
              <w:jc w:val="center"/>
              <w:rPr>
                <w:rFonts w:hint="eastAsia" w:cs="仿宋" w:asciiTheme="majorEastAsia" w:hAnsiTheme="majorEastAsia" w:eastAsiaTheme="majorEastAsia"/>
                <w:b/>
                <w:sz w:val="24"/>
                <w:szCs w:val="24"/>
              </w:rPr>
            </w:pPr>
          </w:p>
        </w:tc>
        <w:tc>
          <w:tcPr>
            <w:tcW w:w="1711" w:type="dxa"/>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不包含伶工学社三棵古树名木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2291" w:type="dxa"/>
            <w:gridSpan w:val="7"/>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二、绿植租摆费用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2017" w:type="dxa"/>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位 置</w:t>
            </w:r>
          </w:p>
        </w:tc>
        <w:tc>
          <w:tcPr>
            <w:tcW w:w="2558" w:type="dxa"/>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摆放地点</w:t>
            </w:r>
          </w:p>
        </w:tc>
        <w:tc>
          <w:tcPr>
            <w:tcW w:w="1629" w:type="dxa"/>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pacing w:val="-20"/>
                <w:sz w:val="24"/>
                <w:szCs w:val="24"/>
              </w:rPr>
              <w:t>规  格</w:t>
            </w:r>
          </w:p>
        </w:tc>
        <w:tc>
          <w:tcPr>
            <w:tcW w:w="1101" w:type="dxa"/>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数 量</w:t>
            </w:r>
          </w:p>
        </w:tc>
        <w:tc>
          <w:tcPr>
            <w:tcW w:w="1762" w:type="dxa"/>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综合单价（元）</w:t>
            </w:r>
          </w:p>
        </w:tc>
        <w:tc>
          <w:tcPr>
            <w:tcW w:w="1513" w:type="dxa"/>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合价（元）</w:t>
            </w:r>
          </w:p>
        </w:tc>
        <w:tc>
          <w:tcPr>
            <w:tcW w:w="1711" w:type="dxa"/>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租摆期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400" w:lineRule="exact"/>
              <w:jc w:val="left"/>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近代馆总序厅门口、当代馆门口、室外钢琴屏北侧</w:t>
            </w:r>
          </w:p>
        </w:tc>
        <w:tc>
          <w:tcPr>
            <w:tcW w:w="2558" w:type="dxa"/>
            <w:vMerge w:val="restart"/>
            <w:vAlign w:val="center"/>
          </w:tcPr>
          <w:p>
            <w:pPr>
              <w:tabs>
                <w:tab w:val="left" w:pos="6120"/>
              </w:tabs>
              <w:spacing w:line="400" w:lineRule="exact"/>
              <w:jc w:val="left"/>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近代馆总序厅门口、当代馆门口、室外钢琴屏北侧</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特大型组合盆栽</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6</w:t>
            </w:r>
          </w:p>
        </w:tc>
        <w:tc>
          <w:tcPr>
            <w:tcW w:w="1762" w:type="dxa"/>
          </w:tcPr>
          <w:p>
            <w:pPr>
              <w:tabs>
                <w:tab w:val="left" w:pos="6120"/>
              </w:tabs>
              <w:spacing w:line="400" w:lineRule="exact"/>
              <w:jc w:val="left"/>
              <w:rPr>
                <w:rFonts w:hint="eastAsia" w:cs="仿宋" w:asciiTheme="majorEastAsia" w:hAnsiTheme="majorEastAsia" w:eastAsiaTheme="majorEastAsia"/>
                <w:bCs/>
                <w:snapToGrid w:val="0"/>
                <w:kern w:val="0"/>
                <w:sz w:val="24"/>
                <w:szCs w:val="24"/>
                <w:lang w:val="zh-CN" w:bidi="zh-CN"/>
              </w:rPr>
            </w:pPr>
          </w:p>
        </w:tc>
        <w:tc>
          <w:tcPr>
            <w:tcW w:w="1513" w:type="dxa"/>
          </w:tcPr>
          <w:p>
            <w:pPr>
              <w:tabs>
                <w:tab w:val="left" w:pos="6120"/>
              </w:tabs>
              <w:spacing w:line="400" w:lineRule="exact"/>
              <w:jc w:val="left"/>
              <w:rPr>
                <w:rFonts w:hint="eastAsia" w:cs="仿宋" w:asciiTheme="majorEastAsia" w:hAnsiTheme="majorEastAsia" w:eastAsiaTheme="majorEastAsia"/>
                <w:bCs/>
                <w:snapToGrid w:val="0"/>
                <w:kern w:val="0"/>
                <w:sz w:val="24"/>
                <w:szCs w:val="24"/>
                <w:lang w:val="zh-CN" w:bidi="zh-CN"/>
              </w:rPr>
            </w:pPr>
          </w:p>
        </w:tc>
        <w:tc>
          <w:tcPr>
            <w:tcW w:w="1711" w:type="dxa"/>
            <w:vMerge w:val="restart"/>
            <w:vAlign w:val="center"/>
          </w:tcPr>
          <w:p>
            <w:pPr>
              <w:tabs>
                <w:tab w:val="left" w:pos="6120"/>
              </w:tabs>
              <w:spacing w:line="400" w:lineRule="exact"/>
              <w:jc w:val="left"/>
              <w:rPr>
                <w:rFonts w:hint="eastAsia" w:cs="仿宋" w:asciiTheme="majorEastAsia" w:hAnsiTheme="majorEastAsia" w:eastAsiaTheme="majorEastAsia"/>
                <w:b/>
                <w:sz w:val="24"/>
                <w:szCs w:val="24"/>
              </w:rPr>
            </w:pPr>
            <w:r>
              <w:rPr>
                <w:rFonts w:hint="eastAsia" w:cs="仿宋" w:asciiTheme="majorEastAsia" w:hAnsiTheme="majorEastAsia" w:eastAsiaTheme="majorEastAsia"/>
                <w:bCs/>
                <w:snapToGrid w:val="0"/>
                <w:kern w:val="0"/>
                <w:sz w:val="24"/>
                <w:szCs w:val="24"/>
                <w:lang w:val="zh-CN" w:bidi="zh-CN"/>
              </w:rPr>
              <w:t>春节、五一、国庆</w:t>
            </w:r>
            <w:r>
              <w:rPr>
                <w:rFonts w:hint="eastAsia" w:cs="仿宋" w:asciiTheme="majorEastAsia" w:hAnsiTheme="majorEastAsia" w:eastAsiaTheme="majorEastAsia"/>
                <w:sz w:val="24"/>
                <w:szCs w:val="24"/>
              </w:rPr>
              <w:t>三个法定节日各一周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b/>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b/>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中型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30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b/>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b/>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大盆花卉</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30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b/>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b/>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小盆花卉</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400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伶工学社</w:t>
            </w:r>
          </w:p>
        </w:tc>
        <w:tc>
          <w:tcPr>
            <w:tcW w:w="2558" w:type="dxa"/>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大盆花卉</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10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b/>
                <w:sz w:val="24"/>
                <w:szCs w:val="24"/>
              </w:rPr>
            </w:pPr>
            <w:r>
              <w:rPr>
                <w:rFonts w:hint="eastAsia" w:cs="仿宋" w:asciiTheme="majorEastAsia" w:hAnsiTheme="majorEastAsia" w:eastAsiaTheme="majorEastAsia"/>
                <w:sz w:val="24"/>
                <w:szCs w:val="24"/>
              </w:rPr>
              <w:t>古代馆一楼</w:t>
            </w:r>
          </w:p>
        </w:tc>
        <w:tc>
          <w:tcPr>
            <w:tcW w:w="2558"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门厅</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大型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3</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b/>
                <w:sz w:val="24"/>
                <w:szCs w:val="24"/>
              </w:rPr>
            </w:pPr>
          </w:p>
        </w:tc>
        <w:tc>
          <w:tcPr>
            <w:tcW w:w="2558"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各展厅</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大型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5</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b/>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b/>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中型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18</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古代馆二楼</w:t>
            </w:r>
          </w:p>
        </w:tc>
        <w:tc>
          <w:tcPr>
            <w:tcW w:w="2558"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各展厅</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大型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5</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中型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20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近代馆一楼</w:t>
            </w:r>
          </w:p>
        </w:tc>
        <w:tc>
          <w:tcPr>
            <w:tcW w:w="2558"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门厅</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特大型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2</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各展厅</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大型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20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中型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10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小型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60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近代馆二楼</w:t>
            </w:r>
          </w:p>
        </w:tc>
        <w:tc>
          <w:tcPr>
            <w:tcW w:w="2558"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各展厅</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大型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20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中型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15</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小型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10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城南别业</w:t>
            </w:r>
          </w:p>
        </w:tc>
        <w:tc>
          <w:tcPr>
            <w:tcW w:w="2558"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西出入口</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中型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2</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一楼、二楼走廊</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中型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20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当代馆一楼</w:t>
            </w:r>
          </w:p>
        </w:tc>
        <w:tc>
          <w:tcPr>
            <w:tcW w:w="2558"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门厅</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特大型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2</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各展厅</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大型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6</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中型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70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小型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10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当代馆二楼</w:t>
            </w:r>
          </w:p>
        </w:tc>
        <w:tc>
          <w:tcPr>
            <w:tcW w:w="2558"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各展厅</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大型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6</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中型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70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小型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10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当代馆三楼</w:t>
            </w:r>
          </w:p>
        </w:tc>
        <w:tc>
          <w:tcPr>
            <w:tcW w:w="2558"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东侧各展厅</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大型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3</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中型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70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小型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10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中间休息区</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大型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2</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restart"/>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西侧各展厅</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大型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3</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中型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80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017"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2558" w:type="dxa"/>
            <w:vMerge w:val="continue"/>
            <w:vAlign w:val="center"/>
          </w:tcPr>
          <w:p>
            <w:pPr>
              <w:tabs>
                <w:tab w:val="left" w:pos="6120"/>
              </w:tabs>
              <w:spacing w:line="500" w:lineRule="exact"/>
              <w:jc w:val="center"/>
              <w:rPr>
                <w:rFonts w:hint="eastAsia" w:cs="仿宋" w:asciiTheme="majorEastAsia" w:hAnsiTheme="majorEastAsia" w:eastAsiaTheme="majorEastAsia"/>
                <w:sz w:val="24"/>
                <w:szCs w:val="24"/>
              </w:rPr>
            </w:pP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小型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10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575" w:type="dxa"/>
            <w:gridSpan w:val="2"/>
            <w:vAlign w:val="center"/>
          </w:tcPr>
          <w:p>
            <w:pPr>
              <w:tabs>
                <w:tab w:val="left" w:pos="6120"/>
              </w:tabs>
              <w:spacing w:line="500" w:lineRule="exact"/>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当代馆四楼</w:t>
            </w:r>
          </w:p>
        </w:tc>
        <w:tc>
          <w:tcPr>
            <w:tcW w:w="1629" w:type="dxa"/>
            <w:vAlign w:val="center"/>
          </w:tcPr>
          <w:p>
            <w:pPr>
              <w:tabs>
                <w:tab w:val="left" w:pos="6120"/>
              </w:tabs>
              <w:spacing w:line="500" w:lineRule="exact"/>
              <w:jc w:val="center"/>
              <w:rPr>
                <w:rFonts w:hint="eastAsia" w:cs="仿宋" w:asciiTheme="majorEastAsia" w:hAnsiTheme="majorEastAsia" w:eastAsiaTheme="majorEastAsia"/>
                <w:spacing w:val="-20"/>
                <w:sz w:val="24"/>
                <w:szCs w:val="24"/>
              </w:rPr>
            </w:pPr>
            <w:r>
              <w:rPr>
                <w:rFonts w:hint="eastAsia" w:cs="仿宋" w:asciiTheme="majorEastAsia" w:hAnsiTheme="majorEastAsia" w:eastAsiaTheme="majorEastAsia"/>
                <w:spacing w:val="-20"/>
                <w:sz w:val="24"/>
                <w:szCs w:val="24"/>
              </w:rPr>
              <w:t>中型</w:t>
            </w:r>
          </w:p>
        </w:tc>
        <w:tc>
          <w:tcPr>
            <w:tcW w:w="110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10</w:t>
            </w:r>
          </w:p>
        </w:tc>
        <w:tc>
          <w:tcPr>
            <w:tcW w:w="1762"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513" w:type="dxa"/>
          </w:tcPr>
          <w:p>
            <w:pPr>
              <w:tabs>
                <w:tab w:val="left" w:pos="6120"/>
              </w:tabs>
              <w:spacing w:line="500" w:lineRule="exact"/>
              <w:jc w:val="center"/>
              <w:rPr>
                <w:rFonts w:hint="eastAsia" w:cs="仿宋" w:asciiTheme="majorEastAsia" w:hAnsiTheme="majorEastAsia" w:eastAsiaTheme="majorEastAsia"/>
                <w:sz w:val="24"/>
                <w:szCs w:val="24"/>
              </w:rPr>
            </w:pPr>
          </w:p>
        </w:tc>
        <w:tc>
          <w:tcPr>
            <w:tcW w:w="1711" w:type="dxa"/>
            <w:vAlign w:val="center"/>
          </w:tcPr>
          <w:p>
            <w:pPr>
              <w:tabs>
                <w:tab w:val="left" w:pos="6120"/>
              </w:tabs>
              <w:spacing w:line="500" w:lineRule="exact"/>
              <w:jc w:val="cente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9个月</w:t>
            </w:r>
          </w:p>
        </w:tc>
      </w:tr>
    </w:tbl>
    <w:p>
      <w:pPr>
        <w:spacing w:line="360" w:lineRule="auto"/>
        <w:ind w:firstLine="1546" w:firstLineChars="550"/>
        <w:rPr>
          <w:rFonts w:hint="eastAsia" w:ascii="宋体" w:hAnsi="宋体" w:cs="宋体"/>
          <w:b/>
          <w:color w:val="000000"/>
          <w:sz w:val="28"/>
          <w:szCs w:val="28"/>
        </w:rPr>
      </w:pPr>
    </w:p>
    <w:p>
      <w:pPr>
        <w:spacing w:line="360" w:lineRule="auto"/>
        <w:ind w:firstLine="1546" w:firstLineChars="550"/>
        <w:rPr>
          <w:rFonts w:hint="eastAsia" w:ascii="宋体" w:hAnsi="宋体" w:cs="宋体"/>
          <w:b/>
          <w:color w:val="000000"/>
          <w:sz w:val="28"/>
          <w:szCs w:val="28"/>
        </w:rPr>
      </w:pPr>
    </w:p>
    <w:p>
      <w:pPr>
        <w:spacing w:line="360" w:lineRule="auto"/>
        <w:ind w:firstLine="1546" w:firstLineChars="550"/>
        <w:rPr>
          <w:rFonts w:hint="eastAsia" w:ascii="宋体" w:hAnsi="宋体" w:cs="宋体"/>
          <w:b/>
          <w:color w:val="000000"/>
          <w:sz w:val="28"/>
          <w:szCs w:val="28"/>
        </w:rPr>
      </w:pPr>
    </w:p>
    <w:p>
      <w:pPr>
        <w:pStyle w:val="96"/>
        <w:tabs>
          <w:tab w:val="left" w:pos="5665"/>
          <w:tab w:val="right" w:pos="8360"/>
        </w:tabs>
        <w:spacing w:line="360" w:lineRule="auto"/>
        <w:ind w:right="42" w:firstLine="480" w:firstLineChars="200"/>
        <w:jc w:val="left"/>
        <w:rPr>
          <w:rFonts w:hint="eastAsia" w:hAnsi="宋体" w:cs="宋体"/>
          <w:sz w:val="24"/>
          <w:u w:val="single"/>
        </w:rPr>
      </w:pPr>
      <w:r>
        <w:rPr>
          <w:rFonts w:hint="eastAsia" w:hAnsi="宋体" w:cs="宋体"/>
          <w:sz w:val="24"/>
        </w:rPr>
        <w:t>竞争性磋商响应单位（公章</w:t>
      </w:r>
      <w:r>
        <w:rPr>
          <w:rFonts w:hAnsi="宋体" w:cs="宋体"/>
          <w:sz w:val="24"/>
        </w:rPr>
        <w:t>)</w:t>
      </w:r>
      <w:r>
        <w:rPr>
          <w:rFonts w:hint="eastAsia" w:hAnsi="宋体" w:cs="宋体"/>
          <w:sz w:val="24"/>
        </w:rPr>
        <w:t>：</w:t>
      </w:r>
      <w:r>
        <w:rPr>
          <w:rFonts w:hAnsi="宋体" w:cs="宋体"/>
          <w:sz w:val="24"/>
          <w:u w:val="single"/>
        </w:rPr>
        <w:t xml:space="preserve">                                  </w:t>
      </w:r>
    </w:p>
    <w:p>
      <w:pPr>
        <w:pStyle w:val="96"/>
        <w:tabs>
          <w:tab w:val="left" w:pos="5665"/>
          <w:tab w:val="right" w:pos="8360"/>
        </w:tabs>
        <w:spacing w:line="360" w:lineRule="auto"/>
        <w:ind w:right="42" w:firstLine="480" w:firstLineChars="200"/>
        <w:rPr>
          <w:rFonts w:hint="eastAsia" w:hAnsi="宋体" w:cs="宋体"/>
          <w:sz w:val="24"/>
          <w:u w:val="single"/>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Ansi="宋体" w:cs="宋体"/>
          <w:sz w:val="24"/>
          <w:u w:val="single"/>
        </w:rPr>
        <w:t xml:space="preserve">               </w:t>
      </w:r>
      <w:r>
        <w:rPr>
          <w:rFonts w:hAnsi="宋体" w:cs="宋体"/>
          <w:sz w:val="24"/>
        </w:rPr>
        <w:t xml:space="preserve">   </w:t>
      </w:r>
    </w:p>
    <w:p>
      <w:pPr>
        <w:pStyle w:val="96"/>
        <w:tabs>
          <w:tab w:val="left" w:pos="5665"/>
          <w:tab w:val="right" w:pos="8360"/>
        </w:tabs>
        <w:spacing w:line="360" w:lineRule="auto"/>
        <w:ind w:right="42" w:firstLine="480" w:firstLineChars="200"/>
        <w:jc w:val="left"/>
        <w:rPr>
          <w:rFonts w:hint="eastAsia" w:hAnsi="宋体" w:cs="宋体"/>
          <w:sz w:val="24"/>
          <w:highlight w:val="yellow"/>
        </w:rPr>
      </w:pPr>
      <w:r>
        <w:rPr>
          <w:rFonts w:hint="eastAsia" w:hAnsi="宋体" w:cs="宋体"/>
          <w:sz w:val="24"/>
        </w:rPr>
        <w:t>日</w:t>
      </w:r>
      <w:r>
        <w:rPr>
          <w:rFonts w:hAnsi="宋体" w:cs="宋体"/>
          <w:sz w:val="24"/>
        </w:rPr>
        <w:t xml:space="preserve">    </w:t>
      </w:r>
      <w:r>
        <w:rPr>
          <w:rFonts w:hint="eastAsia" w:hAnsi="宋体" w:cs="宋体"/>
          <w:sz w:val="24"/>
        </w:rPr>
        <w:t>期：</w:t>
      </w:r>
      <w:r>
        <w:rPr>
          <w:rFonts w:hAnsi="宋体" w:cs="宋体"/>
          <w:sz w:val="24"/>
          <w:u w:val="single"/>
        </w:rPr>
        <w:t xml:space="preserve">                                     </w:t>
      </w:r>
      <w:r>
        <w:rPr>
          <w:rFonts w:hAnsi="宋体" w:cs="宋体"/>
          <w:szCs w:val="28"/>
          <w:u w:val="single"/>
        </w:rPr>
        <w:t xml:space="preserve">   </w:t>
      </w:r>
    </w:p>
    <w:p>
      <w:pPr>
        <w:spacing w:line="360" w:lineRule="auto"/>
        <w:ind w:firstLine="1546" w:firstLineChars="550"/>
        <w:rPr>
          <w:rFonts w:hint="eastAsia" w:ascii="宋体" w:hAnsi="宋体" w:cs="宋体"/>
          <w:b/>
          <w:color w:val="000000"/>
          <w:sz w:val="28"/>
          <w:szCs w:val="28"/>
        </w:rPr>
      </w:pPr>
    </w:p>
    <w:p>
      <w:pPr>
        <w:spacing w:line="360" w:lineRule="auto"/>
        <w:ind w:firstLine="1546" w:firstLineChars="550"/>
        <w:rPr>
          <w:rFonts w:hint="eastAsia" w:ascii="宋体" w:hAnsi="宋体" w:cs="宋体"/>
          <w:b/>
          <w:color w:val="000000"/>
          <w:sz w:val="28"/>
          <w:szCs w:val="28"/>
        </w:rPr>
      </w:pPr>
    </w:p>
    <w:p>
      <w:pPr>
        <w:spacing w:line="360" w:lineRule="auto"/>
        <w:ind w:firstLine="1546" w:firstLineChars="550"/>
        <w:rPr>
          <w:rFonts w:hint="eastAsia" w:ascii="宋体" w:hAnsi="宋体" w:cs="宋体"/>
          <w:b/>
          <w:color w:val="000000"/>
          <w:sz w:val="28"/>
          <w:szCs w:val="28"/>
        </w:rPr>
      </w:pPr>
    </w:p>
    <w:p>
      <w:pPr>
        <w:spacing w:line="360" w:lineRule="auto"/>
        <w:jc w:val="center"/>
        <w:rPr>
          <w:rFonts w:hint="eastAsia" w:ascii="宋体" w:hAnsi="宋体" w:cs="宋体"/>
          <w:b/>
          <w:color w:val="000000"/>
          <w:sz w:val="28"/>
          <w:szCs w:val="28"/>
        </w:rPr>
        <w:sectPr>
          <w:pgSz w:w="16838" w:h="11906" w:orient="landscape"/>
          <w:pgMar w:top="1797" w:right="1440" w:bottom="1797" w:left="1440" w:header="851" w:footer="992" w:gutter="0"/>
          <w:pgNumType w:fmt="numberInDash"/>
          <w:cols w:space="720" w:num="1"/>
          <w:docGrid w:linePitch="312" w:charSpace="0"/>
        </w:sectPr>
      </w:pPr>
    </w:p>
    <w:p>
      <w:pPr>
        <w:spacing w:line="360" w:lineRule="auto"/>
        <w:jc w:val="center"/>
        <w:rPr>
          <w:rFonts w:hint="eastAsia" w:ascii="宋体" w:hAnsi="宋体" w:cs="宋体"/>
          <w:b/>
          <w:color w:val="000000"/>
          <w:sz w:val="28"/>
          <w:szCs w:val="28"/>
        </w:rPr>
      </w:pPr>
    </w:p>
    <w:p>
      <w:pPr>
        <w:spacing w:line="360" w:lineRule="auto"/>
        <w:jc w:val="center"/>
        <w:rPr>
          <w:rFonts w:hint="eastAsia" w:ascii="宋体" w:hAnsi="宋体" w:cs="宋体"/>
          <w:b/>
          <w:color w:val="000000"/>
          <w:sz w:val="28"/>
          <w:szCs w:val="28"/>
        </w:rPr>
      </w:pPr>
    </w:p>
    <w:p>
      <w:pPr>
        <w:spacing w:line="360" w:lineRule="auto"/>
        <w:jc w:val="center"/>
        <w:rPr>
          <w:rFonts w:hint="eastAsia" w:ascii="宋体" w:hAnsi="宋体" w:cs="宋体"/>
          <w:b/>
          <w:color w:val="000000"/>
          <w:sz w:val="28"/>
          <w:szCs w:val="28"/>
        </w:rPr>
      </w:pPr>
    </w:p>
    <w:p>
      <w:pPr>
        <w:spacing w:line="360" w:lineRule="auto"/>
        <w:jc w:val="center"/>
        <w:rPr>
          <w:rFonts w:hint="eastAsia" w:ascii="宋体" w:hAnsi="宋体" w:cs="宋体"/>
          <w:b/>
          <w:color w:val="000000"/>
          <w:sz w:val="28"/>
          <w:szCs w:val="28"/>
        </w:rPr>
      </w:pPr>
    </w:p>
    <w:p>
      <w:pPr>
        <w:spacing w:line="360" w:lineRule="auto"/>
        <w:jc w:val="center"/>
        <w:rPr>
          <w:rFonts w:hint="eastAsia" w:ascii="宋体" w:hAnsi="宋体" w:cs="宋体"/>
          <w:b/>
          <w:color w:val="000000"/>
          <w:sz w:val="28"/>
          <w:szCs w:val="28"/>
        </w:rPr>
      </w:pPr>
    </w:p>
    <w:p>
      <w:pPr>
        <w:spacing w:line="360" w:lineRule="auto"/>
        <w:jc w:val="center"/>
        <w:rPr>
          <w:rFonts w:hint="eastAsia" w:ascii="宋体" w:hAnsi="宋体" w:cs="宋体"/>
          <w:b/>
          <w:color w:val="000000"/>
          <w:sz w:val="28"/>
          <w:szCs w:val="28"/>
        </w:rPr>
      </w:pP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···正文结束···</w:t>
      </w:r>
    </w:p>
    <w:p>
      <w:pPr>
        <w:spacing w:line="360" w:lineRule="auto"/>
        <w:ind w:firstLine="1546" w:firstLineChars="550"/>
        <w:rPr>
          <w:rFonts w:hint="eastAsia" w:ascii="宋体" w:hAnsi="宋体" w:cs="宋体"/>
          <w:b/>
          <w:color w:val="000000"/>
          <w:sz w:val="28"/>
          <w:szCs w:val="28"/>
        </w:rPr>
      </w:pPr>
    </w:p>
    <w:p>
      <w:pPr>
        <w:spacing w:line="360" w:lineRule="auto"/>
        <w:ind w:firstLine="1546" w:firstLineChars="550"/>
        <w:rPr>
          <w:rFonts w:hint="eastAsia" w:ascii="宋体" w:hAnsi="宋体" w:cs="宋体"/>
          <w:b/>
          <w:color w:val="000000"/>
          <w:sz w:val="28"/>
          <w:szCs w:val="28"/>
        </w:rPr>
      </w:pPr>
    </w:p>
    <w:p>
      <w:pPr>
        <w:snapToGrid w:val="0"/>
        <w:spacing w:line="520" w:lineRule="exact"/>
        <w:outlineLvl w:val="3"/>
        <w:rPr>
          <w:rFonts w:ascii="宋体" w:cs="宋体"/>
          <w:b/>
          <w:bCs/>
          <w:kern w:val="0"/>
          <w:sz w:val="24"/>
          <w:szCs w:val="24"/>
        </w:rPr>
      </w:pPr>
    </w:p>
    <w:sectPr>
      <w:pgSz w:w="11906" w:h="16838"/>
      <w:pgMar w:top="1440" w:right="1797" w:bottom="1440" w:left="179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pPr>
                            <w:pStyle w:val="29"/>
                            <w:jc w:val="center"/>
                          </w:pPr>
                          <w:r>
                            <w:rPr>
                              <w:lang w:val="zh-CN"/>
                            </w:rPr>
                            <w:t xml:space="preserve"> </w:t>
                          </w:r>
                          <w:r>
                            <w:rPr>
                              <w:b/>
                              <w:bCs/>
                            </w:rPr>
                            <w:fldChar w:fldCharType="begin"/>
                          </w:r>
                          <w:r>
                            <w:rPr>
                              <w:b/>
                              <w:bCs/>
                            </w:rPr>
                            <w:instrText xml:space="preserve">PAGE</w:instrText>
                          </w:r>
                          <w:r>
                            <w:rPr>
                              <w:b/>
                              <w:bCs/>
                            </w:rPr>
                            <w:fldChar w:fldCharType="separate"/>
                          </w:r>
                          <w:r>
                            <w:rPr>
                              <w:b/>
                              <w:bCs/>
                            </w:rPr>
                            <w:t>- 2 -</w:t>
                          </w:r>
                          <w:r>
                            <w:rPr>
                              <w:b/>
                              <w:bCs/>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exSODQAAAAAwEAAA8AAAAAAAAAAQAgAAAAIgAAAGRy&#10;cy9kb3ducmV2LnhtbFBLAQIUABQAAAAIAIdO4kDOzQ1B1AEAAKUDAAAOAAAAAAAAAAEAIAAAAB8B&#10;AABkcnMvZTJvRG9jLnhtbFBLBQYAAAAABgAGAFkBAABlBQAAAAA=&#10;">
              <v:fill on="f" focussize="0,0"/>
              <v:stroke on="f"/>
              <v:imagedata o:title=""/>
              <o:lock v:ext="edit" aspectratio="f"/>
              <v:textbox inset="0mm,0mm,0mm,0mm" style="mso-fit-shape-to-text:t;">
                <w:txbxContent>
                  <w:p>
                    <w:pPr>
                      <w:pStyle w:val="29"/>
                      <w:jc w:val="center"/>
                    </w:pPr>
                    <w:r>
                      <w:rPr>
                        <w:lang w:val="zh-CN"/>
                      </w:rPr>
                      <w:t xml:space="preserve"> </w:t>
                    </w:r>
                    <w:r>
                      <w:rPr>
                        <w:b/>
                        <w:bCs/>
                      </w:rPr>
                      <w:fldChar w:fldCharType="begin"/>
                    </w:r>
                    <w:r>
                      <w:rPr>
                        <w:b/>
                        <w:bCs/>
                      </w:rPr>
                      <w:instrText xml:space="preserve">PAGE</w:instrText>
                    </w:r>
                    <w:r>
                      <w:rPr>
                        <w:b/>
                        <w:bCs/>
                      </w:rPr>
                      <w:fldChar w:fldCharType="separate"/>
                    </w:r>
                    <w:r>
                      <w:rPr>
                        <w:b/>
                        <w:bCs/>
                      </w:rPr>
                      <w:t>- 2 -</w:t>
                    </w:r>
                    <w:r>
                      <w:rPr>
                        <w:b/>
                        <w:bCs/>
                      </w:rPr>
                      <w:fldChar w:fldCharType="end"/>
                    </w:r>
                  </w:p>
                </w:txbxContent>
              </v:textbox>
            </v:shape>
          </w:pict>
        </mc:Fallback>
      </mc:AlternateConten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29"/>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lCqAwtIBAAClAwAADgAAAAAAAAABACAAAAAfAQAA&#10;ZHJzL2Uyb0RvYy54bWxQSwUGAAAAAAYABgBZAQAAYwUAAAAA&#10;">
              <v:fill on="f" focussize="0,0"/>
              <v:stroke on="f"/>
              <v:imagedata o:title=""/>
              <o:lock v:ext="edit" aspectratio="f"/>
              <v:textbox inset="0mm,0mm,0mm,0mm" style="mso-fit-shape-to-text:t;">
                <w:txbxContent>
                  <w:p>
                    <w:pPr>
                      <w:pStyle w:val="29"/>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v:textbox>
            </v:shape>
          </w:pict>
        </mc:Fallback>
      </mc:AlternateContent>
    </w:r>
  </w:p>
  <w:p>
    <w:pPr>
      <w:pStyle w:val="29"/>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515465"/>
    </w:sdtPr>
    <w:sdtContent>
      <w:p>
        <w:pPr>
          <w:pStyle w:val="29"/>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107"/>
      <w:rPr>
        <w:rStyle w:val="10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7113876"/>
    </w:sdtPr>
    <w:sdtContent>
      <w:p>
        <w:pPr>
          <w:pStyle w:val="29"/>
          <w:jc w:val="center"/>
        </w:pPr>
        <w:r>
          <w:fldChar w:fldCharType="begin"/>
        </w:r>
        <w:r>
          <w:instrText xml:space="preserve">PAGE   \* MERGEFORMAT</w:instrText>
        </w:r>
        <w:r>
          <w:fldChar w:fldCharType="separate"/>
        </w:r>
        <w:r>
          <w:rPr>
            <w:lang w:val="zh-CN"/>
          </w:rPr>
          <w:t>-</w:t>
        </w:r>
        <w:r>
          <w:t xml:space="preserve"> 27 -</w:t>
        </w:r>
        <w:r>
          <w:fldChar w:fldCharType="end"/>
        </w:r>
      </w:p>
    </w:sdtContent>
  </w:sdt>
  <w:p>
    <w:pPr>
      <w:pStyle w:val="107"/>
      <w:rPr>
        <w:rStyle w:val="10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rPr>
        <w:rStyle w:val="106"/>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8925" cy="153035"/>
              <wp:effectExtent l="0" t="0" r="0" b="0"/>
              <wp:wrapNone/>
              <wp:docPr id="9" name="文本框 2"/>
              <wp:cNvGraphicFramePr/>
              <a:graphic xmlns:a="http://schemas.openxmlformats.org/drawingml/2006/main">
                <a:graphicData uri="http://schemas.microsoft.com/office/word/2010/wordprocessingShape">
                  <wps:wsp>
                    <wps:cNvSpPr txBox="1"/>
                    <wps:spPr>
                      <a:xfrm>
                        <a:off x="0" y="0"/>
                        <a:ext cx="288925" cy="153035"/>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37 -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05pt;width:22.75pt;mso-position-horizontal:center;mso-position-horizontal-relative:margin;mso-wrap-style:none;z-index:251661312;mso-width-relative:page;mso-height-relative:page;" filled="f" stroked="f" coordsize="21600,21600" o:gfxdata="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g21+dIAAAADAQAADwAAAAAAAAABACAAAAAiAAAAZHJzL2Rvd25yZXYueG1s&#10;UEsBAhQAFAAAAAgAh07iQKByz9Y3AgAAYQQAAA4AAAAAAAAAAQAgAAAAIQEAAGRycy9lMm9Eb2Mu&#10;eG1sUEsFBgAAAAAGAAYAWQEAAMo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37 -</w:t>
                    </w:r>
                    <w:r>
                      <w:rPr>
                        <w:rFonts w:hint="eastAsia"/>
                        <w:sz w:val="18"/>
                      </w:rPr>
                      <w:fldChar w:fldCharType="end"/>
                    </w:r>
                  </w:p>
                </w:txbxContent>
              </v:textbox>
            </v:shape>
          </w:pict>
        </mc:Fallback>
      </mc:AlternateContent>
    </w:r>
  </w:p>
  <w:p>
    <w:pPr>
      <w:pStyle w:val="107"/>
      <w:rPr>
        <w:rStyle w:val="10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jc w:val="center"/>
      <w:rPr>
        <w:rStyle w:val="10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2UQ8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J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S2UQ8wAgAAZA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p>
    <w:pPr>
      <w:pStyle w:val="107"/>
      <w:rPr>
        <w:rStyle w:val="10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9"/>
      <w:pBdr>
        <w:bottom w:val="none" w:color="auto" w:sz="0" w:space="1"/>
      </w:pBdr>
      <w:jc w:val="both"/>
      <w:rPr>
        <w:rStyle w:val="10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9"/>
      <w:pBdr>
        <w:bottom w:val="none" w:color="auto" w:sz="0" w:space="1"/>
      </w:pBdr>
      <w:jc w:val="both"/>
      <w:rPr>
        <w:rStyle w:val="10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9"/>
      <w:pBdr>
        <w:bottom w:val="none" w:color="auto" w:sz="0" w:space="1"/>
      </w:pBdr>
      <w:jc w:val="both"/>
      <w:rPr>
        <w:rStyle w:val="10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9"/>
      <w:jc w:val="both"/>
      <w:rPr>
        <w:rStyle w:val="106"/>
      </w:rPr>
    </w:pPr>
    <w:r>
      <w:rPr>
        <w:rStyle w:val="106"/>
        <w:rFonts w:hint="eastAsia" w:ascii="宋体" w:hAnsi="宋体"/>
        <w:b/>
        <w:bCs/>
      </w:rPr>
      <w:t>南通市文化馆（群英馆）网络覆盖采购项目</w:t>
    </w:r>
    <w:r>
      <w:rPr>
        <w:rStyle w:val="106"/>
        <w:rFonts w:ascii="宋体" w:hAnsi="宋体"/>
        <w:b/>
        <w:bCs/>
      </w:rPr>
      <w:t xml:space="preserve">                                          </w:t>
    </w:r>
    <w:r>
      <w:rPr>
        <w:rStyle w:val="106"/>
        <w:rFonts w:hint="eastAsia" w:ascii="宋体" w:hAnsi="宋体"/>
        <w:b/>
        <w:bCs/>
      </w:rPr>
      <w:t xml:space="preserve">    </w:t>
    </w:r>
    <w:r>
      <w:rPr>
        <w:rStyle w:val="106"/>
        <w:rFonts w:ascii="宋体" w:hAnsi="宋体"/>
        <w:b/>
        <w:bCs/>
      </w:rPr>
      <w:t xml:space="preserve">  </w:t>
    </w:r>
    <w:r>
      <w:rPr>
        <w:rStyle w:val="106"/>
        <w:rFonts w:hint="eastAsia" w:ascii="宋体" w:hAnsi="宋体"/>
        <w:b/>
        <w:bCs/>
      </w:rPr>
      <w:t>招标采购</w:t>
    </w:r>
    <w:r>
      <w:rPr>
        <w:rStyle w:val="106"/>
        <w:rFonts w:ascii="宋体" w:hAnsi="宋体"/>
        <w:b/>
        <w:bC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889F8"/>
    <w:multiLevelType w:val="singleLevel"/>
    <w:tmpl w:val="A44889F8"/>
    <w:lvl w:ilvl="0" w:tentative="0">
      <w:start w:val="1"/>
      <w:numFmt w:val="decimal"/>
      <w:suff w:val="nothing"/>
      <w:lvlText w:val="%1、"/>
      <w:lvlJc w:val="left"/>
    </w:lvl>
  </w:abstractNum>
  <w:abstractNum w:abstractNumId="1">
    <w:nsid w:val="0E01F8DE"/>
    <w:multiLevelType w:val="singleLevel"/>
    <w:tmpl w:val="0E01F8DE"/>
    <w:lvl w:ilvl="0" w:tentative="0">
      <w:start w:val="1"/>
      <w:numFmt w:val="decimal"/>
      <w:suff w:val="nothing"/>
      <w:lvlText w:val="%1、"/>
      <w:lvlJc w:val="left"/>
    </w:lvl>
  </w:abstractNum>
  <w:abstractNum w:abstractNumId="2">
    <w:nsid w:val="120632F0"/>
    <w:multiLevelType w:val="multilevel"/>
    <w:tmpl w:val="120632F0"/>
    <w:lvl w:ilvl="0" w:tentative="0">
      <w:start w:val="6"/>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3B5B3FBF"/>
    <w:multiLevelType w:val="multilevel"/>
    <w:tmpl w:val="3B5B3FBF"/>
    <w:lvl w:ilvl="0" w:tentative="0">
      <w:start w:val="1"/>
      <w:numFmt w:val="decimalEnclosedParen"/>
      <w:lvlText w:val="%1"/>
      <w:lvlJc w:val="left"/>
      <w:pPr>
        <w:ind w:left="782" w:hanging="360"/>
      </w:pPr>
      <w:rPr>
        <w:rFonts w:hint="default"/>
        <w:b/>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4">
    <w:nsid w:val="3FED15D0"/>
    <w:multiLevelType w:val="multilevel"/>
    <w:tmpl w:val="3FED15D0"/>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5">
    <w:nsid w:val="571458E0"/>
    <w:multiLevelType w:val="singleLevel"/>
    <w:tmpl w:val="571458E0"/>
    <w:lvl w:ilvl="0" w:tentative="0">
      <w:start w:val="2"/>
      <w:numFmt w:val="chineseCounting"/>
      <w:suff w:val="nothing"/>
      <w:lvlText w:val="%1、"/>
      <w:lvlJc w:val="left"/>
      <w:rPr>
        <w:rFonts w:cs="Times New Roman"/>
      </w:rPr>
    </w:lvl>
  </w:abstractNum>
  <w:abstractNum w:abstractNumId="6">
    <w:nsid w:val="572AE91F"/>
    <w:multiLevelType w:val="singleLevel"/>
    <w:tmpl w:val="572AE91F"/>
    <w:lvl w:ilvl="0" w:tentative="0">
      <w:start w:val="5"/>
      <w:numFmt w:val="chineseCounting"/>
      <w:suff w:val="space"/>
      <w:lvlText w:val="第%1章"/>
      <w:lvlJc w:val="left"/>
      <w:rPr>
        <w:rFonts w:cs="Times New Roman"/>
      </w:rPr>
    </w:lvl>
  </w:abstractNum>
  <w:abstractNum w:abstractNumId="7">
    <w:nsid w:val="6BB60522"/>
    <w:multiLevelType w:val="multilevel"/>
    <w:tmpl w:val="6BB60522"/>
    <w:lvl w:ilvl="0" w:tentative="0">
      <w:start w:val="6"/>
      <w:numFmt w:val="decimal"/>
      <w:suff w:val="nothing"/>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79D6404A"/>
    <w:multiLevelType w:val="singleLevel"/>
    <w:tmpl w:val="79D6404A"/>
    <w:lvl w:ilvl="0" w:tentative="0">
      <w:start w:val="1"/>
      <w:numFmt w:val="decimal"/>
      <w:lvlText w:val="%1."/>
      <w:lvlJc w:val="left"/>
      <w:pPr>
        <w:tabs>
          <w:tab w:val="left" w:pos="312"/>
        </w:tabs>
      </w:pPr>
    </w:lvl>
  </w:abstractNum>
  <w:num w:numId="1">
    <w:abstractNumId w:val="6"/>
  </w:num>
  <w:num w:numId="2">
    <w:abstractNumId w:val="4"/>
  </w:num>
  <w:num w:numId="3">
    <w:abstractNumId w:val="8"/>
  </w:num>
  <w:num w:numId="4">
    <w:abstractNumId w:val="1"/>
  </w:num>
  <w:num w:numId="5">
    <w:abstractNumId w:val="0"/>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4"/>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2ZDZmY2MzOGNlOTg1MzI5NGY3MGY1ZTU4YzBhYzQifQ=="/>
  </w:docVars>
  <w:rsids>
    <w:rsidRoot w:val="00172A27"/>
    <w:rsid w:val="00002B1D"/>
    <w:rsid w:val="000031A7"/>
    <w:rsid w:val="00004A97"/>
    <w:rsid w:val="00004EB2"/>
    <w:rsid w:val="000105FB"/>
    <w:rsid w:val="000264D4"/>
    <w:rsid w:val="00027028"/>
    <w:rsid w:val="0003590B"/>
    <w:rsid w:val="00035D2D"/>
    <w:rsid w:val="0004413D"/>
    <w:rsid w:val="000446AB"/>
    <w:rsid w:val="0004671A"/>
    <w:rsid w:val="00046C2C"/>
    <w:rsid w:val="00056872"/>
    <w:rsid w:val="000634AD"/>
    <w:rsid w:val="0006408E"/>
    <w:rsid w:val="0006550A"/>
    <w:rsid w:val="00067914"/>
    <w:rsid w:val="000739F2"/>
    <w:rsid w:val="00074093"/>
    <w:rsid w:val="00074F1F"/>
    <w:rsid w:val="00075BB7"/>
    <w:rsid w:val="00076320"/>
    <w:rsid w:val="00084E77"/>
    <w:rsid w:val="00084ED2"/>
    <w:rsid w:val="00091206"/>
    <w:rsid w:val="00091CB2"/>
    <w:rsid w:val="000976BE"/>
    <w:rsid w:val="000A08CF"/>
    <w:rsid w:val="000A1E41"/>
    <w:rsid w:val="000A2D57"/>
    <w:rsid w:val="000A3D3D"/>
    <w:rsid w:val="000B0080"/>
    <w:rsid w:val="000B06EB"/>
    <w:rsid w:val="000B0B7B"/>
    <w:rsid w:val="000B3732"/>
    <w:rsid w:val="000B3EE0"/>
    <w:rsid w:val="000B4A07"/>
    <w:rsid w:val="000B761E"/>
    <w:rsid w:val="000C07B9"/>
    <w:rsid w:val="000C5747"/>
    <w:rsid w:val="000C6C7A"/>
    <w:rsid w:val="000D0464"/>
    <w:rsid w:val="000D3DD9"/>
    <w:rsid w:val="000E0695"/>
    <w:rsid w:val="000E184C"/>
    <w:rsid w:val="000E3C2B"/>
    <w:rsid w:val="000E49AE"/>
    <w:rsid w:val="000E6D5E"/>
    <w:rsid w:val="000F070B"/>
    <w:rsid w:val="000F360E"/>
    <w:rsid w:val="000F4FF4"/>
    <w:rsid w:val="00107CC4"/>
    <w:rsid w:val="001101F3"/>
    <w:rsid w:val="00112C65"/>
    <w:rsid w:val="00114143"/>
    <w:rsid w:val="001146F5"/>
    <w:rsid w:val="00115FE9"/>
    <w:rsid w:val="00116E34"/>
    <w:rsid w:val="00117AFF"/>
    <w:rsid w:val="0012185C"/>
    <w:rsid w:val="00122874"/>
    <w:rsid w:val="001300F2"/>
    <w:rsid w:val="00133CC7"/>
    <w:rsid w:val="001346A1"/>
    <w:rsid w:val="00136E7A"/>
    <w:rsid w:val="00136F1F"/>
    <w:rsid w:val="00140514"/>
    <w:rsid w:val="00141B81"/>
    <w:rsid w:val="00141EA3"/>
    <w:rsid w:val="00143E15"/>
    <w:rsid w:val="00146A17"/>
    <w:rsid w:val="0015417E"/>
    <w:rsid w:val="00154979"/>
    <w:rsid w:val="00154A16"/>
    <w:rsid w:val="0015550C"/>
    <w:rsid w:val="001627DA"/>
    <w:rsid w:val="00165567"/>
    <w:rsid w:val="001702BC"/>
    <w:rsid w:val="00170F94"/>
    <w:rsid w:val="001718A5"/>
    <w:rsid w:val="00172A27"/>
    <w:rsid w:val="00174C08"/>
    <w:rsid w:val="00175AE9"/>
    <w:rsid w:val="00175EB4"/>
    <w:rsid w:val="0017761A"/>
    <w:rsid w:val="001804FF"/>
    <w:rsid w:val="00180C44"/>
    <w:rsid w:val="00181A02"/>
    <w:rsid w:val="001849B9"/>
    <w:rsid w:val="001864A5"/>
    <w:rsid w:val="00186550"/>
    <w:rsid w:val="0019142E"/>
    <w:rsid w:val="00191DD6"/>
    <w:rsid w:val="0019336C"/>
    <w:rsid w:val="001A2F4B"/>
    <w:rsid w:val="001A32F5"/>
    <w:rsid w:val="001A5E41"/>
    <w:rsid w:val="001A5F4C"/>
    <w:rsid w:val="001A69DE"/>
    <w:rsid w:val="001A6BF9"/>
    <w:rsid w:val="001A7603"/>
    <w:rsid w:val="001B0167"/>
    <w:rsid w:val="001B093D"/>
    <w:rsid w:val="001B557A"/>
    <w:rsid w:val="001C1357"/>
    <w:rsid w:val="001C5BA3"/>
    <w:rsid w:val="001C7149"/>
    <w:rsid w:val="001D0A17"/>
    <w:rsid w:val="001D0CB4"/>
    <w:rsid w:val="001D3C78"/>
    <w:rsid w:val="001D49B7"/>
    <w:rsid w:val="001D6266"/>
    <w:rsid w:val="001D67FC"/>
    <w:rsid w:val="001D6FF3"/>
    <w:rsid w:val="001D7BBA"/>
    <w:rsid w:val="001E0BFD"/>
    <w:rsid w:val="001E3534"/>
    <w:rsid w:val="001E380C"/>
    <w:rsid w:val="001E528E"/>
    <w:rsid w:val="001E6834"/>
    <w:rsid w:val="001F071A"/>
    <w:rsid w:val="001F19A2"/>
    <w:rsid w:val="001F3DA8"/>
    <w:rsid w:val="001F5EC6"/>
    <w:rsid w:val="002013D1"/>
    <w:rsid w:val="00201469"/>
    <w:rsid w:val="00203839"/>
    <w:rsid w:val="00207784"/>
    <w:rsid w:val="00207838"/>
    <w:rsid w:val="00207F85"/>
    <w:rsid w:val="0021228C"/>
    <w:rsid w:val="00215C53"/>
    <w:rsid w:val="00215F79"/>
    <w:rsid w:val="00221851"/>
    <w:rsid w:val="0022303D"/>
    <w:rsid w:val="0022388C"/>
    <w:rsid w:val="0022606A"/>
    <w:rsid w:val="00230570"/>
    <w:rsid w:val="00231148"/>
    <w:rsid w:val="002345CA"/>
    <w:rsid w:val="002355F1"/>
    <w:rsid w:val="00235B17"/>
    <w:rsid w:val="00241F8A"/>
    <w:rsid w:val="00243075"/>
    <w:rsid w:val="002465F4"/>
    <w:rsid w:val="00247557"/>
    <w:rsid w:val="00247C0F"/>
    <w:rsid w:val="00251DEE"/>
    <w:rsid w:val="00256631"/>
    <w:rsid w:val="0026208C"/>
    <w:rsid w:val="002653D1"/>
    <w:rsid w:val="00267623"/>
    <w:rsid w:val="00275F09"/>
    <w:rsid w:val="00281168"/>
    <w:rsid w:val="00283A3C"/>
    <w:rsid w:val="00290AC4"/>
    <w:rsid w:val="00292E74"/>
    <w:rsid w:val="00292F81"/>
    <w:rsid w:val="002943AD"/>
    <w:rsid w:val="0029596E"/>
    <w:rsid w:val="00296049"/>
    <w:rsid w:val="00296B1D"/>
    <w:rsid w:val="002A19D2"/>
    <w:rsid w:val="002A3080"/>
    <w:rsid w:val="002A48DB"/>
    <w:rsid w:val="002B11E8"/>
    <w:rsid w:val="002C1810"/>
    <w:rsid w:val="002C1E07"/>
    <w:rsid w:val="002C2A43"/>
    <w:rsid w:val="002C341A"/>
    <w:rsid w:val="002C4DEB"/>
    <w:rsid w:val="002C54B1"/>
    <w:rsid w:val="002C6489"/>
    <w:rsid w:val="002C6621"/>
    <w:rsid w:val="002D0C06"/>
    <w:rsid w:val="002D16BD"/>
    <w:rsid w:val="002D2A05"/>
    <w:rsid w:val="002E1065"/>
    <w:rsid w:val="002F7AC5"/>
    <w:rsid w:val="00303A7A"/>
    <w:rsid w:val="00304589"/>
    <w:rsid w:val="00304924"/>
    <w:rsid w:val="00305B0E"/>
    <w:rsid w:val="00312F60"/>
    <w:rsid w:val="00313A67"/>
    <w:rsid w:val="00313E13"/>
    <w:rsid w:val="00313E9F"/>
    <w:rsid w:val="00316A66"/>
    <w:rsid w:val="00317006"/>
    <w:rsid w:val="0032020B"/>
    <w:rsid w:val="003254AC"/>
    <w:rsid w:val="00327682"/>
    <w:rsid w:val="00336BB8"/>
    <w:rsid w:val="0034235C"/>
    <w:rsid w:val="00343E67"/>
    <w:rsid w:val="00347D67"/>
    <w:rsid w:val="00352C6E"/>
    <w:rsid w:val="00355505"/>
    <w:rsid w:val="00365060"/>
    <w:rsid w:val="00365808"/>
    <w:rsid w:val="00372BAE"/>
    <w:rsid w:val="00374E16"/>
    <w:rsid w:val="00377491"/>
    <w:rsid w:val="00380179"/>
    <w:rsid w:val="00384751"/>
    <w:rsid w:val="00384FF5"/>
    <w:rsid w:val="00390A7D"/>
    <w:rsid w:val="00391B74"/>
    <w:rsid w:val="00394839"/>
    <w:rsid w:val="003A2EB2"/>
    <w:rsid w:val="003A51E7"/>
    <w:rsid w:val="003A57BD"/>
    <w:rsid w:val="003A725B"/>
    <w:rsid w:val="003B0187"/>
    <w:rsid w:val="003B2CFC"/>
    <w:rsid w:val="003B48D5"/>
    <w:rsid w:val="003B4CE0"/>
    <w:rsid w:val="003B65BE"/>
    <w:rsid w:val="003C2287"/>
    <w:rsid w:val="003D0266"/>
    <w:rsid w:val="003D16E2"/>
    <w:rsid w:val="003D206C"/>
    <w:rsid w:val="003D263D"/>
    <w:rsid w:val="003D32C6"/>
    <w:rsid w:val="003E5B16"/>
    <w:rsid w:val="003E6949"/>
    <w:rsid w:val="003E7786"/>
    <w:rsid w:val="0040257C"/>
    <w:rsid w:val="00403F1B"/>
    <w:rsid w:val="00405215"/>
    <w:rsid w:val="00405382"/>
    <w:rsid w:val="00406794"/>
    <w:rsid w:val="00417F61"/>
    <w:rsid w:val="00420E3A"/>
    <w:rsid w:val="00421474"/>
    <w:rsid w:val="004223CD"/>
    <w:rsid w:val="00423C6D"/>
    <w:rsid w:val="0042486E"/>
    <w:rsid w:val="00424F82"/>
    <w:rsid w:val="00426D73"/>
    <w:rsid w:val="00430368"/>
    <w:rsid w:val="004327BA"/>
    <w:rsid w:val="00443356"/>
    <w:rsid w:val="0045230C"/>
    <w:rsid w:val="0045272B"/>
    <w:rsid w:val="0045353F"/>
    <w:rsid w:val="004546BC"/>
    <w:rsid w:val="00454DC8"/>
    <w:rsid w:val="00460605"/>
    <w:rsid w:val="0046565F"/>
    <w:rsid w:val="004663D4"/>
    <w:rsid w:val="004674F9"/>
    <w:rsid w:val="004717D9"/>
    <w:rsid w:val="0047180C"/>
    <w:rsid w:val="00474C88"/>
    <w:rsid w:val="004756C5"/>
    <w:rsid w:val="00480BC4"/>
    <w:rsid w:val="00482A04"/>
    <w:rsid w:val="004847D2"/>
    <w:rsid w:val="00484D68"/>
    <w:rsid w:val="0048545A"/>
    <w:rsid w:val="00490B8C"/>
    <w:rsid w:val="00493C81"/>
    <w:rsid w:val="0049434C"/>
    <w:rsid w:val="0049462A"/>
    <w:rsid w:val="00494DD5"/>
    <w:rsid w:val="00494FF0"/>
    <w:rsid w:val="004953A6"/>
    <w:rsid w:val="00496C11"/>
    <w:rsid w:val="004A3264"/>
    <w:rsid w:val="004A40EF"/>
    <w:rsid w:val="004B08A0"/>
    <w:rsid w:val="004B0AAA"/>
    <w:rsid w:val="004B0F30"/>
    <w:rsid w:val="004B1D78"/>
    <w:rsid w:val="004B67DE"/>
    <w:rsid w:val="004B7586"/>
    <w:rsid w:val="004B7BD3"/>
    <w:rsid w:val="004B7CE2"/>
    <w:rsid w:val="004C485A"/>
    <w:rsid w:val="004C4EA6"/>
    <w:rsid w:val="004C59E6"/>
    <w:rsid w:val="004D097D"/>
    <w:rsid w:val="004D10A0"/>
    <w:rsid w:val="004D32F9"/>
    <w:rsid w:val="004D4201"/>
    <w:rsid w:val="004D49EC"/>
    <w:rsid w:val="004D5082"/>
    <w:rsid w:val="004E4462"/>
    <w:rsid w:val="004E6459"/>
    <w:rsid w:val="004E6A54"/>
    <w:rsid w:val="004E6D3D"/>
    <w:rsid w:val="004E7B3C"/>
    <w:rsid w:val="00500606"/>
    <w:rsid w:val="00501399"/>
    <w:rsid w:val="00502E93"/>
    <w:rsid w:val="0050564D"/>
    <w:rsid w:val="00507D75"/>
    <w:rsid w:val="00512B15"/>
    <w:rsid w:val="005141CE"/>
    <w:rsid w:val="005145CA"/>
    <w:rsid w:val="005145E5"/>
    <w:rsid w:val="0051539C"/>
    <w:rsid w:val="00515E4C"/>
    <w:rsid w:val="00522D5C"/>
    <w:rsid w:val="0052378A"/>
    <w:rsid w:val="005325B9"/>
    <w:rsid w:val="00533941"/>
    <w:rsid w:val="00543E77"/>
    <w:rsid w:val="005447A3"/>
    <w:rsid w:val="00546FDC"/>
    <w:rsid w:val="00547813"/>
    <w:rsid w:val="00551DD5"/>
    <w:rsid w:val="00554799"/>
    <w:rsid w:val="00554C4C"/>
    <w:rsid w:val="00555F41"/>
    <w:rsid w:val="00561D69"/>
    <w:rsid w:val="005628E6"/>
    <w:rsid w:val="0056402B"/>
    <w:rsid w:val="00565D9A"/>
    <w:rsid w:val="00570C05"/>
    <w:rsid w:val="00570C89"/>
    <w:rsid w:val="0057540C"/>
    <w:rsid w:val="00577805"/>
    <w:rsid w:val="00584473"/>
    <w:rsid w:val="00590297"/>
    <w:rsid w:val="00591098"/>
    <w:rsid w:val="0059573A"/>
    <w:rsid w:val="005A189D"/>
    <w:rsid w:val="005A625C"/>
    <w:rsid w:val="005A72A3"/>
    <w:rsid w:val="005C02FD"/>
    <w:rsid w:val="005C0614"/>
    <w:rsid w:val="005D1EB3"/>
    <w:rsid w:val="005D27D4"/>
    <w:rsid w:val="005D50A4"/>
    <w:rsid w:val="005D7852"/>
    <w:rsid w:val="005E3731"/>
    <w:rsid w:val="005E770C"/>
    <w:rsid w:val="005F6C50"/>
    <w:rsid w:val="005F7451"/>
    <w:rsid w:val="005F7AC1"/>
    <w:rsid w:val="00601B02"/>
    <w:rsid w:val="006025BE"/>
    <w:rsid w:val="0060318E"/>
    <w:rsid w:val="00604DC6"/>
    <w:rsid w:val="00607FFB"/>
    <w:rsid w:val="00610B20"/>
    <w:rsid w:val="00610F20"/>
    <w:rsid w:val="00612149"/>
    <w:rsid w:val="006140C2"/>
    <w:rsid w:val="00616635"/>
    <w:rsid w:val="006168A1"/>
    <w:rsid w:val="006175C6"/>
    <w:rsid w:val="00625ACA"/>
    <w:rsid w:val="006275FA"/>
    <w:rsid w:val="006345F7"/>
    <w:rsid w:val="0063537C"/>
    <w:rsid w:val="00641122"/>
    <w:rsid w:val="006461E9"/>
    <w:rsid w:val="006544E5"/>
    <w:rsid w:val="00654CF7"/>
    <w:rsid w:val="00657B7C"/>
    <w:rsid w:val="00657E06"/>
    <w:rsid w:val="006603A2"/>
    <w:rsid w:val="00661554"/>
    <w:rsid w:val="00662218"/>
    <w:rsid w:val="00662A90"/>
    <w:rsid w:val="00676103"/>
    <w:rsid w:val="0067690D"/>
    <w:rsid w:val="006774CB"/>
    <w:rsid w:val="00684F53"/>
    <w:rsid w:val="00691A51"/>
    <w:rsid w:val="00694FA7"/>
    <w:rsid w:val="006950C7"/>
    <w:rsid w:val="00695261"/>
    <w:rsid w:val="00696592"/>
    <w:rsid w:val="006977A6"/>
    <w:rsid w:val="006A248D"/>
    <w:rsid w:val="006A3256"/>
    <w:rsid w:val="006A4FF1"/>
    <w:rsid w:val="006B1F65"/>
    <w:rsid w:val="006B42FA"/>
    <w:rsid w:val="006B5FAC"/>
    <w:rsid w:val="006B7964"/>
    <w:rsid w:val="006C2ED2"/>
    <w:rsid w:val="006D15D2"/>
    <w:rsid w:val="006D1898"/>
    <w:rsid w:val="006D1A28"/>
    <w:rsid w:val="006D1C14"/>
    <w:rsid w:val="006D3400"/>
    <w:rsid w:val="006D3ACC"/>
    <w:rsid w:val="006D4923"/>
    <w:rsid w:val="006D589A"/>
    <w:rsid w:val="006D65DF"/>
    <w:rsid w:val="006D7151"/>
    <w:rsid w:val="006E0564"/>
    <w:rsid w:val="006E4BBE"/>
    <w:rsid w:val="006E63BB"/>
    <w:rsid w:val="006E67AE"/>
    <w:rsid w:val="006F4070"/>
    <w:rsid w:val="006F5518"/>
    <w:rsid w:val="006F60A6"/>
    <w:rsid w:val="006F6D6E"/>
    <w:rsid w:val="006F7E4B"/>
    <w:rsid w:val="00701272"/>
    <w:rsid w:val="007028FE"/>
    <w:rsid w:val="00702B10"/>
    <w:rsid w:val="007158B2"/>
    <w:rsid w:val="007167F0"/>
    <w:rsid w:val="00716AF9"/>
    <w:rsid w:val="00720D79"/>
    <w:rsid w:val="00722354"/>
    <w:rsid w:val="0072615A"/>
    <w:rsid w:val="007264E7"/>
    <w:rsid w:val="007277C0"/>
    <w:rsid w:val="00733830"/>
    <w:rsid w:val="00737907"/>
    <w:rsid w:val="00737FF5"/>
    <w:rsid w:val="00740286"/>
    <w:rsid w:val="00741228"/>
    <w:rsid w:val="00741971"/>
    <w:rsid w:val="00745F7B"/>
    <w:rsid w:val="007470FE"/>
    <w:rsid w:val="00751AC6"/>
    <w:rsid w:val="0075253E"/>
    <w:rsid w:val="007526B2"/>
    <w:rsid w:val="00753759"/>
    <w:rsid w:val="00760082"/>
    <w:rsid w:val="0076455C"/>
    <w:rsid w:val="00764625"/>
    <w:rsid w:val="00765BBD"/>
    <w:rsid w:val="0077071A"/>
    <w:rsid w:val="007744E2"/>
    <w:rsid w:val="0077589D"/>
    <w:rsid w:val="00783372"/>
    <w:rsid w:val="00784D8E"/>
    <w:rsid w:val="00785F2B"/>
    <w:rsid w:val="00786E6A"/>
    <w:rsid w:val="00787E3F"/>
    <w:rsid w:val="00790ABB"/>
    <w:rsid w:val="00792C71"/>
    <w:rsid w:val="007A3417"/>
    <w:rsid w:val="007B25D6"/>
    <w:rsid w:val="007B79D0"/>
    <w:rsid w:val="007C0373"/>
    <w:rsid w:val="007C117B"/>
    <w:rsid w:val="007C28AE"/>
    <w:rsid w:val="007C7879"/>
    <w:rsid w:val="007D34AD"/>
    <w:rsid w:val="007E4AAB"/>
    <w:rsid w:val="007E4B95"/>
    <w:rsid w:val="007E5AE8"/>
    <w:rsid w:val="007E6B2F"/>
    <w:rsid w:val="007F1A16"/>
    <w:rsid w:val="007F245C"/>
    <w:rsid w:val="007F774F"/>
    <w:rsid w:val="007F7DBA"/>
    <w:rsid w:val="008057FC"/>
    <w:rsid w:val="00806744"/>
    <w:rsid w:val="00807A6F"/>
    <w:rsid w:val="008141A0"/>
    <w:rsid w:val="00815709"/>
    <w:rsid w:val="00820688"/>
    <w:rsid w:val="008230A3"/>
    <w:rsid w:val="008335F1"/>
    <w:rsid w:val="00833CE3"/>
    <w:rsid w:val="008344B1"/>
    <w:rsid w:val="00836970"/>
    <w:rsid w:val="00840629"/>
    <w:rsid w:val="0084293E"/>
    <w:rsid w:val="00851E05"/>
    <w:rsid w:val="008520F4"/>
    <w:rsid w:val="00852184"/>
    <w:rsid w:val="00852DF2"/>
    <w:rsid w:val="008545A8"/>
    <w:rsid w:val="00855016"/>
    <w:rsid w:val="0085568F"/>
    <w:rsid w:val="008565BE"/>
    <w:rsid w:val="008572BA"/>
    <w:rsid w:val="008604F8"/>
    <w:rsid w:val="00862E11"/>
    <w:rsid w:val="00873358"/>
    <w:rsid w:val="008756C7"/>
    <w:rsid w:val="008770CA"/>
    <w:rsid w:val="008834DE"/>
    <w:rsid w:val="008847A1"/>
    <w:rsid w:val="0088700E"/>
    <w:rsid w:val="00887BFC"/>
    <w:rsid w:val="0089350C"/>
    <w:rsid w:val="00895494"/>
    <w:rsid w:val="00895926"/>
    <w:rsid w:val="008963AA"/>
    <w:rsid w:val="008965A0"/>
    <w:rsid w:val="00897AF2"/>
    <w:rsid w:val="008A279E"/>
    <w:rsid w:val="008A671F"/>
    <w:rsid w:val="008B0FAF"/>
    <w:rsid w:val="008B1497"/>
    <w:rsid w:val="008B38C2"/>
    <w:rsid w:val="008B7956"/>
    <w:rsid w:val="008B7C61"/>
    <w:rsid w:val="008C10AB"/>
    <w:rsid w:val="008C3C50"/>
    <w:rsid w:val="008C4D0A"/>
    <w:rsid w:val="008C5A44"/>
    <w:rsid w:val="008C5F39"/>
    <w:rsid w:val="008C6BEB"/>
    <w:rsid w:val="008D1114"/>
    <w:rsid w:val="008D2D0E"/>
    <w:rsid w:val="008D313A"/>
    <w:rsid w:val="008D4167"/>
    <w:rsid w:val="008D675C"/>
    <w:rsid w:val="008D6BCA"/>
    <w:rsid w:val="008E119A"/>
    <w:rsid w:val="008E13C0"/>
    <w:rsid w:val="008E1655"/>
    <w:rsid w:val="008E34D8"/>
    <w:rsid w:val="008F034E"/>
    <w:rsid w:val="008F27B7"/>
    <w:rsid w:val="008F37FA"/>
    <w:rsid w:val="008F4909"/>
    <w:rsid w:val="008F4EF1"/>
    <w:rsid w:val="009032F3"/>
    <w:rsid w:val="00903785"/>
    <w:rsid w:val="00903D74"/>
    <w:rsid w:val="00904012"/>
    <w:rsid w:val="0090532D"/>
    <w:rsid w:val="00910B1A"/>
    <w:rsid w:val="00920842"/>
    <w:rsid w:val="009216BD"/>
    <w:rsid w:val="00922F0C"/>
    <w:rsid w:val="009239BF"/>
    <w:rsid w:val="00923DB0"/>
    <w:rsid w:val="00924E26"/>
    <w:rsid w:val="00930DDE"/>
    <w:rsid w:val="0093473D"/>
    <w:rsid w:val="009348E6"/>
    <w:rsid w:val="00934929"/>
    <w:rsid w:val="0093680A"/>
    <w:rsid w:val="0094037A"/>
    <w:rsid w:val="00942A92"/>
    <w:rsid w:val="009433B0"/>
    <w:rsid w:val="00944A80"/>
    <w:rsid w:val="009465E0"/>
    <w:rsid w:val="0095091E"/>
    <w:rsid w:val="009525A2"/>
    <w:rsid w:val="00953E1D"/>
    <w:rsid w:val="009556E5"/>
    <w:rsid w:val="00955A3F"/>
    <w:rsid w:val="00957D38"/>
    <w:rsid w:val="0096522D"/>
    <w:rsid w:val="00966B29"/>
    <w:rsid w:val="0097298E"/>
    <w:rsid w:val="00972EAF"/>
    <w:rsid w:val="0098050C"/>
    <w:rsid w:val="00980BDF"/>
    <w:rsid w:val="00983614"/>
    <w:rsid w:val="0098542E"/>
    <w:rsid w:val="009855D5"/>
    <w:rsid w:val="00985783"/>
    <w:rsid w:val="009857DD"/>
    <w:rsid w:val="00985A0E"/>
    <w:rsid w:val="00986EAB"/>
    <w:rsid w:val="00994A91"/>
    <w:rsid w:val="00994C24"/>
    <w:rsid w:val="00997BCC"/>
    <w:rsid w:val="009A1B77"/>
    <w:rsid w:val="009A574F"/>
    <w:rsid w:val="009A5E11"/>
    <w:rsid w:val="009A60F9"/>
    <w:rsid w:val="009B0421"/>
    <w:rsid w:val="009B321E"/>
    <w:rsid w:val="009B5A1B"/>
    <w:rsid w:val="009B78BE"/>
    <w:rsid w:val="009C226D"/>
    <w:rsid w:val="009C426B"/>
    <w:rsid w:val="009C4F17"/>
    <w:rsid w:val="009D353C"/>
    <w:rsid w:val="009D465F"/>
    <w:rsid w:val="009E2415"/>
    <w:rsid w:val="009E5223"/>
    <w:rsid w:val="009E59FB"/>
    <w:rsid w:val="009E778B"/>
    <w:rsid w:val="009F2DEC"/>
    <w:rsid w:val="009F4223"/>
    <w:rsid w:val="009F48FA"/>
    <w:rsid w:val="009F4BA0"/>
    <w:rsid w:val="009F4FC8"/>
    <w:rsid w:val="009F7D85"/>
    <w:rsid w:val="00A0646C"/>
    <w:rsid w:val="00A07EF6"/>
    <w:rsid w:val="00A1005B"/>
    <w:rsid w:val="00A14124"/>
    <w:rsid w:val="00A160C1"/>
    <w:rsid w:val="00A17234"/>
    <w:rsid w:val="00A24AB9"/>
    <w:rsid w:val="00A2677A"/>
    <w:rsid w:val="00A31CEB"/>
    <w:rsid w:val="00A321F8"/>
    <w:rsid w:val="00A36166"/>
    <w:rsid w:val="00A3645A"/>
    <w:rsid w:val="00A423BB"/>
    <w:rsid w:val="00A511A7"/>
    <w:rsid w:val="00A52E53"/>
    <w:rsid w:val="00A538A0"/>
    <w:rsid w:val="00A545C8"/>
    <w:rsid w:val="00A57F1A"/>
    <w:rsid w:val="00A61C2A"/>
    <w:rsid w:val="00A6467E"/>
    <w:rsid w:val="00A679CE"/>
    <w:rsid w:val="00A72156"/>
    <w:rsid w:val="00A73FBB"/>
    <w:rsid w:val="00A758F8"/>
    <w:rsid w:val="00A77A29"/>
    <w:rsid w:val="00A801C1"/>
    <w:rsid w:val="00A81D76"/>
    <w:rsid w:val="00A83402"/>
    <w:rsid w:val="00A83EB1"/>
    <w:rsid w:val="00A8508E"/>
    <w:rsid w:val="00A85B6B"/>
    <w:rsid w:val="00A903FE"/>
    <w:rsid w:val="00A948E6"/>
    <w:rsid w:val="00A97E3F"/>
    <w:rsid w:val="00AA0BB7"/>
    <w:rsid w:val="00AA413D"/>
    <w:rsid w:val="00AA4923"/>
    <w:rsid w:val="00AA568C"/>
    <w:rsid w:val="00AA5705"/>
    <w:rsid w:val="00AB31EA"/>
    <w:rsid w:val="00AB524C"/>
    <w:rsid w:val="00AB5B5F"/>
    <w:rsid w:val="00AB61FC"/>
    <w:rsid w:val="00AC5901"/>
    <w:rsid w:val="00AC5F91"/>
    <w:rsid w:val="00AC7A91"/>
    <w:rsid w:val="00AD1E6E"/>
    <w:rsid w:val="00AD1EBB"/>
    <w:rsid w:val="00AD1F30"/>
    <w:rsid w:val="00AD3013"/>
    <w:rsid w:val="00AD4EA7"/>
    <w:rsid w:val="00AD5355"/>
    <w:rsid w:val="00AD6720"/>
    <w:rsid w:val="00AE00B9"/>
    <w:rsid w:val="00AE0EEE"/>
    <w:rsid w:val="00AE1347"/>
    <w:rsid w:val="00AE39ED"/>
    <w:rsid w:val="00AE39FA"/>
    <w:rsid w:val="00AE49B2"/>
    <w:rsid w:val="00AE667A"/>
    <w:rsid w:val="00AE67FF"/>
    <w:rsid w:val="00AE7514"/>
    <w:rsid w:val="00AF7477"/>
    <w:rsid w:val="00B03609"/>
    <w:rsid w:val="00B04BC3"/>
    <w:rsid w:val="00B056FC"/>
    <w:rsid w:val="00B06616"/>
    <w:rsid w:val="00B12EA3"/>
    <w:rsid w:val="00B136C9"/>
    <w:rsid w:val="00B22C81"/>
    <w:rsid w:val="00B26CDC"/>
    <w:rsid w:val="00B3095E"/>
    <w:rsid w:val="00B30B72"/>
    <w:rsid w:val="00B31C28"/>
    <w:rsid w:val="00B34C8C"/>
    <w:rsid w:val="00B376A4"/>
    <w:rsid w:val="00B42DAD"/>
    <w:rsid w:val="00B43A34"/>
    <w:rsid w:val="00B4417C"/>
    <w:rsid w:val="00B45B3B"/>
    <w:rsid w:val="00B46875"/>
    <w:rsid w:val="00B46E28"/>
    <w:rsid w:val="00B513D9"/>
    <w:rsid w:val="00B52E81"/>
    <w:rsid w:val="00B53087"/>
    <w:rsid w:val="00B565FE"/>
    <w:rsid w:val="00B6226F"/>
    <w:rsid w:val="00B634B2"/>
    <w:rsid w:val="00B70667"/>
    <w:rsid w:val="00B80856"/>
    <w:rsid w:val="00B876DD"/>
    <w:rsid w:val="00B94261"/>
    <w:rsid w:val="00B94997"/>
    <w:rsid w:val="00B9501E"/>
    <w:rsid w:val="00BA59F4"/>
    <w:rsid w:val="00BB1B00"/>
    <w:rsid w:val="00BB3049"/>
    <w:rsid w:val="00BB60AB"/>
    <w:rsid w:val="00BB6BBF"/>
    <w:rsid w:val="00BC6552"/>
    <w:rsid w:val="00BC6A8B"/>
    <w:rsid w:val="00BD1973"/>
    <w:rsid w:val="00BD6E2B"/>
    <w:rsid w:val="00BE00F1"/>
    <w:rsid w:val="00BE1988"/>
    <w:rsid w:val="00BE21EA"/>
    <w:rsid w:val="00BE65AD"/>
    <w:rsid w:val="00BE6A5F"/>
    <w:rsid w:val="00BE7C49"/>
    <w:rsid w:val="00BF54EE"/>
    <w:rsid w:val="00BF590E"/>
    <w:rsid w:val="00C01572"/>
    <w:rsid w:val="00C020AE"/>
    <w:rsid w:val="00C02D42"/>
    <w:rsid w:val="00C062F0"/>
    <w:rsid w:val="00C12354"/>
    <w:rsid w:val="00C14EE1"/>
    <w:rsid w:val="00C15AAB"/>
    <w:rsid w:val="00C15C9B"/>
    <w:rsid w:val="00C16213"/>
    <w:rsid w:val="00C201C8"/>
    <w:rsid w:val="00C20BA9"/>
    <w:rsid w:val="00C22EDF"/>
    <w:rsid w:val="00C231EE"/>
    <w:rsid w:val="00C2475D"/>
    <w:rsid w:val="00C25305"/>
    <w:rsid w:val="00C2546E"/>
    <w:rsid w:val="00C25552"/>
    <w:rsid w:val="00C25AAA"/>
    <w:rsid w:val="00C2749D"/>
    <w:rsid w:val="00C33325"/>
    <w:rsid w:val="00C337D9"/>
    <w:rsid w:val="00C34602"/>
    <w:rsid w:val="00C35CC8"/>
    <w:rsid w:val="00C36944"/>
    <w:rsid w:val="00C40195"/>
    <w:rsid w:val="00C4192A"/>
    <w:rsid w:val="00C41CC6"/>
    <w:rsid w:val="00C4299C"/>
    <w:rsid w:val="00C44394"/>
    <w:rsid w:val="00C4692A"/>
    <w:rsid w:val="00C47135"/>
    <w:rsid w:val="00C4764B"/>
    <w:rsid w:val="00C50D3E"/>
    <w:rsid w:val="00C5159E"/>
    <w:rsid w:val="00C600DA"/>
    <w:rsid w:val="00C60487"/>
    <w:rsid w:val="00C62027"/>
    <w:rsid w:val="00C63A54"/>
    <w:rsid w:val="00C6575E"/>
    <w:rsid w:val="00C668B0"/>
    <w:rsid w:val="00C71C9B"/>
    <w:rsid w:val="00C72629"/>
    <w:rsid w:val="00C74BEB"/>
    <w:rsid w:val="00C81BDF"/>
    <w:rsid w:val="00C862BA"/>
    <w:rsid w:val="00C8724B"/>
    <w:rsid w:val="00C9034B"/>
    <w:rsid w:val="00C904DC"/>
    <w:rsid w:val="00C908A6"/>
    <w:rsid w:val="00C9453A"/>
    <w:rsid w:val="00C9613E"/>
    <w:rsid w:val="00C962DD"/>
    <w:rsid w:val="00C963F2"/>
    <w:rsid w:val="00CA2E8E"/>
    <w:rsid w:val="00CA6899"/>
    <w:rsid w:val="00CA7AFE"/>
    <w:rsid w:val="00CB2EF1"/>
    <w:rsid w:val="00CB677B"/>
    <w:rsid w:val="00CB7957"/>
    <w:rsid w:val="00CC0EBC"/>
    <w:rsid w:val="00CC120B"/>
    <w:rsid w:val="00CC2C75"/>
    <w:rsid w:val="00CC2FF5"/>
    <w:rsid w:val="00CC3238"/>
    <w:rsid w:val="00CC6812"/>
    <w:rsid w:val="00CC6E4D"/>
    <w:rsid w:val="00CD0215"/>
    <w:rsid w:val="00CD18BB"/>
    <w:rsid w:val="00CD6F99"/>
    <w:rsid w:val="00CD7773"/>
    <w:rsid w:val="00CD7BD1"/>
    <w:rsid w:val="00CE0717"/>
    <w:rsid w:val="00CE5931"/>
    <w:rsid w:val="00D030E9"/>
    <w:rsid w:val="00D034AB"/>
    <w:rsid w:val="00D078F9"/>
    <w:rsid w:val="00D1009E"/>
    <w:rsid w:val="00D117EE"/>
    <w:rsid w:val="00D13218"/>
    <w:rsid w:val="00D135A1"/>
    <w:rsid w:val="00D2270F"/>
    <w:rsid w:val="00D2286B"/>
    <w:rsid w:val="00D265AE"/>
    <w:rsid w:val="00D34154"/>
    <w:rsid w:val="00D346E7"/>
    <w:rsid w:val="00D34EF0"/>
    <w:rsid w:val="00D35229"/>
    <w:rsid w:val="00D372EF"/>
    <w:rsid w:val="00D43A10"/>
    <w:rsid w:val="00D43C2B"/>
    <w:rsid w:val="00D43D38"/>
    <w:rsid w:val="00D46043"/>
    <w:rsid w:val="00D46E10"/>
    <w:rsid w:val="00D501D0"/>
    <w:rsid w:val="00D51515"/>
    <w:rsid w:val="00D55D07"/>
    <w:rsid w:val="00D63064"/>
    <w:rsid w:val="00D65BFB"/>
    <w:rsid w:val="00D66420"/>
    <w:rsid w:val="00D67036"/>
    <w:rsid w:val="00D67A43"/>
    <w:rsid w:val="00D72E18"/>
    <w:rsid w:val="00D73050"/>
    <w:rsid w:val="00D8318D"/>
    <w:rsid w:val="00D83ABE"/>
    <w:rsid w:val="00D84255"/>
    <w:rsid w:val="00D85719"/>
    <w:rsid w:val="00D86F05"/>
    <w:rsid w:val="00D905C7"/>
    <w:rsid w:val="00D919F7"/>
    <w:rsid w:val="00D95E68"/>
    <w:rsid w:val="00DA0079"/>
    <w:rsid w:val="00DA2897"/>
    <w:rsid w:val="00DA79DB"/>
    <w:rsid w:val="00DB05AD"/>
    <w:rsid w:val="00DB3BBA"/>
    <w:rsid w:val="00DB6C4C"/>
    <w:rsid w:val="00DB7BAC"/>
    <w:rsid w:val="00DC1146"/>
    <w:rsid w:val="00DC2930"/>
    <w:rsid w:val="00DC36CC"/>
    <w:rsid w:val="00DC3DB2"/>
    <w:rsid w:val="00DC5912"/>
    <w:rsid w:val="00DD6AE0"/>
    <w:rsid w:val="00DD6B3B"/>
    <w:rsid w:val="00DD7FDA"/>
    <w:rsid w:val="00DE3A65"/>
    <w:rsid w:val="00DE4EB2"/>
    <w:rsid w:val="00DE5015"/>
    <w:rsid w:val="00DE6D23"/>
    <w:rsid w:val="00DF001F"/>
    <w:rsid w:val="00DF2882"/>
    <w:rsid w:val="00DF30DC"/>
    <w:rsid w:val="00DF7F3E"/>
    <w:rsid w:val="00E02513"/>
    <w:rsid w:val="00E05E16"/>
    <w:rsid w:val="00E11AA0"/>
    <w:rsid w:val="00E11AC6"/>
    <w:rsid w:val="00E13008"/>
    <w:rsid w:val="00E14482"/>
    <w:rsid w:val="00E14618"/>
    <w:rsid w:val="00E2350A"/>
    <w:rsid w:val="00E245C0"/>
    <w:rsid w:val="00E30F3E"/>
    <w:rsid w:val="00E318FA"/>
    <w:rsid w:val="00E345AD"/>
    <w:rsid w:val="00E431D5"/>
    <w:rsid w:val="00E46885"/>
    <w:rsid w:val="00E46AD8"/>
    <w:rsid w:val="00E53804"/>
    <w:rsid w:val="00E54359"/>
    <w:rsid w:val="00E55047"/>
    <w:rsid w:val="00E5565F"/>
    <w:rsid w:val="00E5752C"/>
    <w:rsid w:val="00E62C93"/>
    <w:rsid w:val="00E70982"/>
    <w:rsid w:val="00E74743"/>
    <w:rsid w:val="00E76EEA"/>
    <w:rsid w:val="00E80C02"/>
    <w:rsid w:val="00E810F7"/>
    <w:rsid w:val="00E81951"/>
    <w:rsid w:val="00E8265E"/>
    <w:rsid w:val="00E8274C"/>
    <w:rsid w:val="00E857DC"/>
    <w:rsid w:val="00E9161C"/>
    <w:rsid w:val="00EA1293"/>
    <w:rsid w:val="00EA1884"/>
    <w:rsid w:val="00EA770E"/>
    <w:rsid w:val="00EB0FB8"/>
    <w:rsid w:val="00EB2718"/>
    <w:rsid w:val="00EB30FF"/>
    <w:rsid w:val="00EB70D2"/>
    <w:rsid w:val="00EB7280"/>
    <w:rsid w:val="00EC26C9"/>
    <w:rsid w:val="00EC49F9"/>
    <w:rsid w:val="00EC51EF"/>
    <w:rsid w:val="00EC604D"/>
    <w:rsid w:val="00EC6D3A"/>
    <w:rsid w:val="00ED21C8"/>
    <w:rsid w:val="00ED28E1"/>
    <w:rsid w:val="00ED3BB5"/>
    <w:rsid w:val="00ED7A3C"/>
    <w:rsid w:val="00EE1ECE"/>
    <w:rsid w:val="00EE3B5C"/>
    <w:rsid w:val="00EE453A"/>
    <w:rsid w:val="00EF0171"/>
    <w:rsid w:val="00EF5BBF"/>
    <w:rsid w:val="00EF71E1"/>
    <w:rsid w:val="00EF7ADF"/>
    <w:rsid w:val="00F079E7"/>
    <w:rsid w:val="00F1159E"/>
    <w:rsid w:val="00F11F21"/>
    <w:rsid w:val="00F14A23"/>
    <w:rsid w:val="00F1500B"/>
    <w:rsid w:val="00F1633A"/>
    <w:rsid w:val="00F207FA"/>
    <w:rsid w:val="00F21D7E"/>
    <w:rsid w:val="00F275C0"/>
    <w:rsid w:val="00F304F5"/>
    <w:rsid w:val="00F312C7"/>
    <w:rsid w:val="00F32408"/>
    <w:rsid w:val="00F35033"/>
    <w:rsid w:val="00F35AA6"/>
    <w:rsid w:val="00F41ED4"/>
    <w:rsid w:val="00F420DF"/>
    <w:rsid w:val="00F42A93"/>
    <w:rsid w:val="00F50006"/>
    <w:rsid w:val="00F50E7D"/>
    <w:rsid w:val="00F50FB1"/>
    <w:rsid w:val="00F52739"/>
    <w:rsid w:val="00F52F4E"/>
    <w:rsid w:val="00F565B1"/>
    <w:rsid w:val="00F61F3E"/>
    <w:rsid w:val="00F623CE"/>
    <w:rsid w:val="00F67D8C"/>
    <w:rsid w:val="00F71A57"/>
    <w:rsid w:val="00F72C8A"/>
    <w:rsid w:val="00F72E6D"/>
    <w:rsid w:val="00F73E5F"/>
    <w:rsid w:val="00F7710B"/>
    <w:rsid w:val="00F80E69"/>
    <w:rsid w:val="00F828D4"/>
    <w:rsid w:val="00F82E00"/>
    <w:rsid w:val="00F85A14"/>
    <w:rsid w:val="00F85A93"/>
    <w:rsid w:val="00F86363"/>
    <w:rsid w:val="00F8737D"/>
    <w:rsid w:val="00F93905"/>
    <w:rsid w:val="00F95708"/>
    <w:rsid w:val="00F97E53"/>
    <w:rsid w:val="00FA0EE3"/>
    <w:rsid w:val="00FA2736"/>
    <w:rsid w:val="00FA2A5F"/>
    <w:rsid w:val="00FA3702"/>
    <w:rsid w:val="00FA60CE"/>
    <w:rsid w:val="00FB2784"/>
    <w:rsid w:val="00FB3409"/>
    <w:rsid w:val="00FB4ACC"/>
    <w:rsid w:val="00FB511F"/>
    <w:rsid w:val="00FB6B3E"/>
    <w:rsid w:val="00FC3057"/>
    <w:rsid w:val="00FC31BB"/>
    <w:rsid w:val="00FC5DAC"/>
    <w:rsid w:val="00FD1642"/>
    <w:rsid w:val="00FE00A7"/>
    <w:rsid w:val="00FE0267"/>
    <w:rsid w:val="00FE3A67"/>
    <w:rsid w:val="00FE5A1E"/>
    <w:rsid w:val="00FE5B7A"/>
    <w:rsid w:val="00FF2224"/>
    <w:rsid w:val="00FF311E"/>
    <w:rsid w:val="00FF3FE9"/>
    <w:rsid w:val="00FF4A10"/>
    <w:rsid w:val="00FF5D16"/>
    <w:rsid w:val="00FF782B"/>
    <w:rsid w:val="011375A8"/>
    <w:rsid w:val="01451617"/>
    <w:rsid w:val="01982317"/>
    <w:rsid w:val="01B87F15"/>
    <w:rsid w:val="01E943A0"/>
    <w:rsid w:val="023A2E4D"/>
    <w:rsid w:val="025E7D16"/>
    <w:rsid w:val="02680E0A"/>
    <w:rsid w:val="02C82538"/>
    <w:rsid w:val="03324A94"/>
    <w:rsid w:val="0338447D"/>
    <w:rsid w:val="04006A19"/>
    <w:rsid w:val="04096F7B"/>
    <w:rsid w:val="04175232"/>
    <w:rsid w:val="04184408"/>
    <w:rsid w:val="042332EE"/>
    <w:rsid w:val="045A2003"/>
    <w:rsid w:val="048F1D18"/>
    <w:rsid w:val="04E62E18"/>
    <w:rsid w:val="052E1451"/>
    <w:rsid w:val="05862439"/>
    <w:rsid w:val="05DE75CE"/>
    <w:rsid w:val="06562220"/>
    <w:rsid w:val="067D49A1"/>
    <w:rsid w:val="06902446"/>
    <w:rsid w:val="0694472D"/>
    <w:rsid w:val="06F12163"/>
    <w:rsid w:val="07004918"/>
    <w:rsid w:val="077D2EC3"/>
    <w:rsid w:val="07B37C1F"/>
    <w:rsid w:val="084A3ADD"/>
    <w:rsid w:val="08852948"/>
    <w:rsid w:val="08D12C20"/>
    <w:rsid w:val="08D45A72"/>
    <w:rsid w:val="08E92ED7"/>
    <w:rsid w:val="09442803"/>
    <w:rsid w:val="095D5673"/>
    <w:rsid w:val="09C90A2F"/>
    <w:rsid w:val="0A374335"/>
    <w:rsid w:val="0A6E7F4C"/>
    <w:rsid w:val="0AF550CF"/>
    <w:rsid w:val="0AF76095"/>
    <w:rsid w:val="0B4B3038"/>
    <w:rsid w:val="0BAA6373"/>
    <w:rsid w:val="0BB853AB"/>
    <w:rsid w:val="0C75441D"/>
    <w:rsid w:val="0C7852A5"/>
    <w:rsid w:val="0C7B3AB4"/>
    <w:rsid w:val="0D371C32"/>
    <w:rsid w:val="0D5A5957"/>
    <w:rsid w:val="0D612F06"/>
    <w:rsid w:val="0DB25311"/>
    <w:rsid w:val="0E585D80"/>
    <w:rsid w:val="0E6F1234"/>
    <w:rsid w:val="0E733918"/>
    <w:rsid w:val="0E975183"/>
    <w:rsid w:val="0ED65F8D"/>
    <w:rsid w:val="0F657030"/>
    <w:rsid w:val="10C479FC"/>
    <w:rsid w:val="10D614F9"/>
    <w:rsid w:val="115C4155"/>
    <w:rsid w:val="11BF1B19"/>
    <w:rsid w:val="11C04268"/>
    <w:rsid w:val="121D48EB"/>
    <w:rsid w:val="12F639E2"/>
    <w:rsid w:val="12F92E59"/>
    <w:rsid w:val="12FC5EFD"/>
    <w:rsid w:val="132B66B5"/>
    <w:rsid w:val="132F1E2E"/>
    <w:rsid w:val="134A2825"/>
    <w:rsid w:val="1356371D"/>
    <w:rsid w:val="13736B1E"/>
    <w:rsid w:val="13781A27"/>
    <w:rsid w:val="13AB6E65"/>
    <w:rsid w:val="13C968AE"/>
    <w:rsid w:val="14017577"/>
    <w:rsid w:val="151632A6"/>
    <w:rsid w:val="15A244C2"/>
    <w:rsid w:val="15E81DCE"/>
    <w:rsid w:val="16C871A2"/>
    <w:rsid w:val="16DF2CE6"/>
    <w:rsid w:val="16E66D61"/>
    <w:rsid w:val="16E90E79"/>
    <w:rsid w:val="1762588A"/>
    <w:rsid w:val="17854713"/>
    <w:rsid w:val="17EF5AF3"/>
    <w:rsid w:val="18155A97"/>
    <w:rsid w:val="183E0CAF"/>
    <w:rsid w:val="18891653"/>
    <w:rsid w:val="189F35B2"/>
    <w:rsid w:val="18ED17D6"/>
    <w:rsid w:val="19101E45"/>
    <w:rsid w:val="198C1D89"/>
    <w:rsid w:val="19B709C0"/>
    <w:rsid w:val="1AB45D89"/>
    <w:rsid w:val="1AB9454C"/>
    <w:rsid w:val="1ACD2659"/>
    <w:rsid w:val="1AFC093E"/>
    <w:rsid w:val="1B751D18"/>
    <w:rsid w:val="1BAA7D53"/>
    <w:rsid w:val="1C3B5CE8"/>
    <w:rsid w:val="1C6817F0"/>
    <w:rsid w:val="1C830A99"/>
    <w:rsid w:val="1CB746AB"/>
    <w:rsid w:val="1D684905"/>
    <w:rsid w:val="1DC72373"/>
    <w:rsid w:val="1DDE692B"/>
    <w:rsid w:val="1DEA5747"/>
    <w:rsid w:val="1E027949"/>
    <w:rsid w:val="1E682698"/>
    <w:rsid w:val="1EEE2819"/>
    <w:rsid w:val="1F095BCD"/>
    <w:rsid w:val="1F105AB8"/>
    <w:rsid w:val="201523AC"/>
    <w:rsid w:val="20EA1BF7"/>
    <w:rsid w:val="21E07116"/>
    <w:rsid w:val="221072CF"/>
    <w:rsid w:val="22115CDB"/>
    <w:rsid w:val="22665141"/>
    <w:rsid w:val="22EC5B17"/>
    <w:rsid w:val="23524A86"/>
    <w:rsid w:val="236B2A0F"/>
    <w:rsid w:val="23C95987"/>
    <w:rsid w:val="23D42713"/>
    <w:rsid w:val="243E45C7"/>
    <w:rsid w:val="24BE1CE5"/>
    <w:rsid w:val="250637EA"/>
    <w:rsid w:val="25173C5F"/>
    <w:rsid w:val="257A7486"/>
    <w:rsid w:val="259E32AB"/>
    <w:rsid w:val="25F10E11"/>
    <w:rsid w:val="260E180C"/>
    <w:rsid w:val="26506717"/>
    <w:rsid w:val="268B3494"/>
    <w:rsid w:val="26AD2EBB"/>
    <w:rsid w:val="26B648E9"/>
    <w:rsid w:val="27D25752"/>
    <w:rsid w:val="27FC11E1"/>
    <w:rsid w:val="2898023B"/>
    <w:rsid w:val="28C700D7"/>
    <w:rsid w:val="28C92310"/>
    <w:rsid w:val="28DD5E33"/>
    <w:rsid w:val="29026B42"/>
    <w:rsid w:val="292813A2"/>
    <w:rsid w:val="29451F54"/>
    <w:rsid w:val="29A2717B"/>
    <w:rsid w:val="29B979A9"/>
    <w:rsid w:val="29CE5AA6"/>
    <w:rsid w:val="2A5306A1"/>
    <w:rsid w:val="2A704DAF"/>
    <w:rsid w:val="2B087297"/>
    <w:rsid w:val="2BA52AAD"/>
    <w:rsid w:val="2BD85A0F"/>
    <w:rsid w:val="2BEC698B"/>
    <w:rsid w:val="2C092F1D"/>
    <w:rsid w:val="2C2979A4"/>
    <w:rsid w:val="2D012636"/>
    <w:rsid w:val="2D11343C"/>
    <w:rsid w:val="2D263BEB"/>
    <w:rsid w:val="2D5354D4"/>
    <w:rsid w:val="2D6F57F1"/>
    <w:rsid w:val="2D6F583F"/>
    <w:rsid w:val="2D7E158A"/>
    <w:rsid w:val="2E693487"/>
    <w:rsid w:val="2F0E7173"/>
    <w:rsid w:val="2F5064B6"/>
    <w:rsid w:val="2FC36919"/>
    <w:rsid w:val="2FCD67FF"/>
    <w:rsid w:val="30B56F17"/>
    <w:rsid w:val="30C365E0"/>
    <w:rsid w:val="30DD7879"/>
    <w:rsid w:val="30E272ED"/>
    <w:rsid w:val="311C0B4B"/>
    <w:rsid w:val="31435B14"/>
    <w:rsid w:val="31660F23"/>
    <w:rsid w:val="31922829"/>
    <w:rsid w:val="33392BE6"/>
    <w:rsid w:val="33661445"/>
    <w:rsid w:val="33995376"/>
    <w:rsid w:val="33E54DB7"/>
    <w:rsid w:val="33EC600C"/>
    <w:rsid w:val="342B07EB"/>
    <w:rsid w:val="34796F56"/>
    <w:rsid w:val="34C12DD7"/>
    <w:rsid w:val="35A61FCC"/>
    <w:rsid w:val="35CA2C77"/>
    <w:rsid w:val="36F00F32"/>
    <w:rsid w:val="37290B81"/>
    <w:rsid w:val="372F21F8"/>
    <w:rsid w:val="373C4996"/>
    <w:rsid w:val="375810A4"/>
    <w:rsid w:val="375A10AE"/>
    <w:rsid w:val="375F18CE"/>
    <w:rsid w:val="37B3452D"/>
    <w:rsid w:val="38022324"/>
    <w:rsid w:val="380F0E9B"/>
    <w:rsid w:val="383E67DF"/>
    <w:rsid w:val="38DE55D9"/>
    <w:rsid w:val="39137979"/>
    <w:rsid w:val="394D3787"/>
    <w:rsid w:val="398402F3"/>
    <w:rsid w:val="39BA729B"/>
    <w:rsid w:val="3A1D7944"/>
    <w:rsid w:val="3A7D77A0"/>
    <w:rsid w:val="3B7A2AAE"/>
    <w:rsid w:val="3C9E3AD4"/>
    <w:rsid w:val="3CA71C2A"/>
    <w:rsid w:val="3D25107C"/>
    <w:rsid w:val="3D603E83"/>
    <w:rsid w:val="3D766DBD"/>
    <w:rsid w:val="3D7C2E18"/>
    <w:rsid w:val="3D805CA2"/>
    <w:rsid w:val="3DBB413B"/>
    <w:rsid w:val="3E1075B2"/>
    <w:rsid w:val="3F0C77E4"/>
    <w:rsid w:val="3F177A97"/>
    <w:rsid w:val="3F18606C"/>
    <w:rsid w:val="3F2A06C6"/>
    <w:rsid w:val="3F812E17"/>
    <w:rsid w:val="3FD028EF"/>
    <w:rsid w:val="400C164B"/>
    <w:rsid w:val="401A783F"/>
    <w:rsid w:val="404228F2"/>
    <w:rsid w:val="407239BA"/>
    <w:rsid w:val="40964782"/>
    <w:rsid w:val="4186746A"/>
    <w:rsid w:val="41B34E11"/>
    <w:rsid w:val="43056584"/>
    <w:rsid w:val="43284021"/>
    <w:rsid w:val="433868E1"/>
    <w:rsid w:val="437F4960"/>
    <w:rsid w:val="43AE667D"/>
    <w:rsid w:val="43C31F9B"/>
    <w:rsid w:val="43C55D14"/>
    <w:rsid w:val="4489475C"/>
    <w:rsid w:val="44D04F73"/>
    <w:rsid w:val="454A7C44"/>
    <w:rsid w:val="45F36B68"/>
    <w:rsid w:val="461329F5"/>
    <w:rsid w:val="461865CE"/>
    <w:rsid w:val="46B26ACF"/>
    <w:rsid w:val="46F3483F"/>
    <w:rsid w:val="472E1307"/>
    <w:rsid w:val="47393F0F"/>
    <w:rsid w:val="47413903"/>
    <w:rsid w:val="474A7B57"/>
    <w:rsid w:val="477B5933"/>
    <w:rsid w:val="47953BCE"/>
    <w:rsid w:val="479B51D9"/>
    <w:rsid w:val="47A735E5"/>
    <w:rsid w:val="47AB502F"/>
    <w:rsid w:val="47C60196"/>
    <w:rsid w:val="47CE1987"/>
    <w:rsid w:val="48494024"/>
    <w:rsid w:val="493C55CA"/>
    <w:rsid w:val="495F1709"/>
    <w:rsid w:val="499524F4"/>
    <w:rsid w:val="49F20EE5"/>
    <w:rsid w:val="4A0745D9"/>
    <w:rsid w:val="4A1A7809"/>
    <w:rsid w:val="4A2A1993"/>
    <w:rsid w:val="4B0327CD"/>
    <w:rsid w:val="4B9745A8"/>
    <w:rsid w:val="4BCE052E"/>
    <w:rsid w:val="4BE50156"/>
    <w:rsid w:val="4C177FF3"/>
    <w:rsid w:val="4C75452B"/>
    <w:rsid w:val="4D8B613E"/>
    <w:rsid w:val="4DCB32F9"/>
    <w:rsid w:val="4DDE5009"/>
    <w:rsid w:val="4E0C03DE"/>
    <w:rsid w:val="4E197B6E"/>
    <w:rsid w:val="4E315370"/>
    <w:rsid w:val="4E422C2E"/>
    <w:rsid w:val="4E6039E7"/>
    <w:rsid w:val="4EA81D0B"/>
    <w:rsid w:val="4EAB44BF"/>
    <w:rsid w:val="4EB42C0C"/>
    <w:rsid w:val="4ECC264C"/>
    <w:rsid w:val="4EEC1AE4"/>
    <w:rsid w:val="4F3363C0"/>
    <w:rsid w:val="4F4C150D"/>
    <w:rsid w:val="502F2E92"/>
    <w:rsid w:val="50B769E4"/>
    <w:rsid w:val="50C84660"/>
    <w:rsid w:val="527D47C7"/>
    <w:rsid w:val="52AA6BAB"/>
    <w:rsid w:val="535D1191"/>
    <w:rsid w:val="542639E7"/>
    <w:rsid w:val="54686C3A"/>
    <w:rsid w:val="54CF254E"/>
    <w:rsid w:val="55322134"/>
    <w:rsid w:val="55AC739B"/>
    <w:rsid w:val="55D05399"/>
    <w:rsid w:val="56B07357"/>
    <w:rsid w:val="571B4490"/>
    <w:rsid w:val="57573F83"/>
    <w:rsid w:val="585E0AD0"/>
    <w:rsid w:val="58B87159"/>
    <w:rsid w:val="5ACB4289"/>
    <w:rsid w:val="5AF80F16"/>
    <w:rsid w:val="5B702E09"/>
    <w:rsid w:val="5B7C5649"/>
    <w:rsid w:val="5BCE7A03"/>
    <w:rsid w:val="5BF907F8"/>
    <w:rsid w:val="5CFC10D2"/>
    <w:rsid w:val="5D0638AC"/>
    <w:rsid w:val="5D6C4F80"/>
    <w:rsid w:val="5DC15983"/>
    <w:rsid w:val="5E947C3F"/>
    <w:rsid w:val="5F17286C"/>
    <w:rsid w:val="5F5014F2"/>
    <w:rsid w:val="5FBC0CF1"/>
    <w:rsid w:val="602A3B6A"/>
    <w:rsid w:val="603826E4"/>
    <w:rsid w:val="60947AE8"/>
    <w:rsid w:val="61B93645"/>
    <w:rsid w:val="61BD395C"/>
    <w:rsid w:val="623F6029"/>
    <w:rsid w:val="6248345A"/>
    <w:rsid w:val="63D3125A"/>
    <w:rsid w:val="642D54E3"/>
    <w:rsid w:val="649E018F"/>
    <w:rsid w:val="64E36EB6"/>
    <w:rsid w:val="66326DE1"/>
    <w:rsid w:val="66554BE3"/>
    <w:rsid w:val="66AF5C66"/>
    <w:rsid w:val="66F75934"/>
    <w:rsid w:val="67256946"/>
    <w:rsid w:val="672636AE"/>
    <w:rsid w:val="67C84677"/>
    <w:rsid w:val="687848F3"/>
    <w:rsid w:val="68975621"/>
    <w:rsid w:val="68D73C6F"/>
    <w:rsid w:val="69025032"/>
    <w:rsid w:val="6928544D"/>
    <w:rsid w:val="69575050"/>
    <w:rsid w:val="699A7243"/>
    <w:rsid w:val="6A6F3D42"/>
    <w:rsid w:val="6AC02AFA"/>
    <w:rsid w:val="6B467546"/>
    <w:rsid w:val="6BED474A"/>
    <w:rsid w:val="6C457D6E"/>
    <w:rsid w:val="6C6D1E19"/>
    <w:rsid w:val="6CAE2F39"/>
    <w:rsid w:val="6CE07597"/>
    <w:rsid w:val="6D512045"/>
    <w:rsid w:val="6D7537E7"/>
    <w:rsid w:val="6DDD5F11"/>
    <w:rsid w:val="6E62182B"/>
    <w:rsid w:val="6EB947FC"/>
    <w:rsid w:val="6F305A53"/>
    <w:rsid w:val="6FC61CBC"/>
    <w:rsid w:val="6FD17B51"/>
    <w:rsid w:val="705636CC"/>
    <w:rsid w:val="70944D1F"/>
    <w:rsid w:val="712B4B58"/>
    <w:rsid w:val="71A91862"/>
    <w:rsid w:val="71DB3D00"/>
    <w:rsid w:val="71E909FE"/>
    <w:rsid w:val="71FC3878"/>
    <w:rsid w:val="7236716C"/>
    <w:rsid w:val="728763B9"/>
    <w:rsid w:val="733D0024"/>
    <w:rsid w:val="737624FD"/>
    <w:rsid w:val="74400103"/>
    <w:rsid w:val="7472539D"/>
    <w:rsid w:val="75044F2A"/>
    <w:rsid w:val="75481873"/>
    <w:rsid w:val="758B3E18"/>
    <w:rsid w:val="75D53272"/>
    <w:rsid w:val="76A60C5F"/>
    <w:rsid w:val="76FF2D0F"/>
    <w:rsid w:val="771745C2"/>
    <w:rsid w:val="77844FC2"/>
    <w:rsid w:val="77DB72D8"/>
    <w:rsid w:val="781E3086"/>
    <w:rsid w:val="782A79E0"/>
    <w:rsid w:val="78707419"/>
    <w:rsid w:val="78B418D7"/>
    <w:rsid w:val="78F82E8F"/>
    <w:rsid w:val="7918618D"/>
    <w:rsid w:val="79370CA2"/>
    <w:rsid w:val="79426EE3"/>
    <w:rsid w:val="79F35FCC"/>
    <w:rsid w:val="79F81FAC"/>
    <w:rsid w:val="7A0027B8"/>
    <w:rsid w:val="7A2246FD"/>
    <w:rsid w:val="7A232871"/>
    <w:rsid w:val="7A98230D"/>
    <w:rsid w:val="7AA03EC1"/>
    <w:rsid w:val="7AA83E8C"/>
    <w:rsid w:val="7B191A20"/>
    <w:rsid w:val="7B346CFF"/>
    <w:rsid w:val="7BC736D0"/>
    <w:rsid w:val="7BE679B8"/>
    <w:rsid w:val="7C121551"/>
    <w:rsid w:val="7D2F6F08"/>
    <w:rsid w:val="7D3C1478"/>
    <w:rsid w:val="7E916B3D"/>
    <w:rsid w:val="7EBF526A"/>
    <w:rsid w:val="7F271055"/>
    <w:rsid w:val="7FD9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99"/>
    <w:pPr>
      <w:keepNext/>
      <w:keepLines/>
      <w:adjustRightInd w:val="0"/>
      <w:spacing w:before="340" w:after="330" w:line="578" w:lineRule="atLeast"/>
      <w:textAlignment w:val="baseline"/>
      <w:outlineLvl w:val="0"/>
    </w:pPr>
    <w:rPr>
      <w:b/>
      <w:kern w:val="44"/>
      <w:sz w:val="44"/>
    </w:rPr>
  </w:style>
  <w:style w:type="paragraph" w:styleId="3">
    <w:name w:val="heading 2"/>
    <w:basedOn w:val="1"/>
    <w:next w:val="1"/>
    <w:link w:val="58"/>
    <w:qFormat/>
    <w:uiPriority w:val="99"/>
    <w:pPr>
      <w:keepNext/>
      <w:keepLines/>
      <w:adjustRightInd w:val="0"/>
      <w:spacing w:before="260" w:after="260" w:line="416" w:lineRule="atLeast"/>
      <w:textAlignment w:val="baseline"/>
      <w:outlineLvl w:val="1"/>
    </w:pPr>
    <w:rPr>
      <w:rFonts w:ascii="Arial" w:hAnsi="Arial" w:eastAsia="黑体"/>
      <w:b/>
      <w:kern w:val="0"/>
      <w:sz w:val="32"/>
    </w:rPr>
  </w:style>
  <w:style w:type="paragraph" w:styleId="4">
    <w:name w:val="heading 3"/>
    <w:basedOn w:val="1"/>
    <w:next w:val="1"/>
    <w:link w:val="59"/>
    <w:qFormat/>
    <w:uiPriority w:val="99"/>
    <w:pPr>
      <w:keepNext/>
      <w:keepLines/>
      <w:adjustRightInd w:val="0"/>
      <w:spacing w:before="260" w:after="260" w:line="416" w:lineRule="atLeast"/>
      <w:textAlignment w:val="baseline"/>
      <w:outlineLvl w:val="2"/>
    </w:pPr>
    <w:rPr>
      <w:b/>
      <w:kern w:val="0"/>
      <w:sz w:val="32"/>
    </w:rPr>
  </w:style>
  <w:style w:type="paragraph" w:styleId="5">
    <w:name w:val="heading 4"/>
    <w:basedOn w:val="1"/>
    <w:next w:val="1"/>
    <w:link w:val="60"/>
    <w:qFormat/>
    <w:uiPriority w:val="99"/>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1"/>
    <w:link w:val="61"/>
    <w:qFormat/>
    <w:uiPriority w:val="99"/>
    <w:pPr>
      <w:keepNext/>
      <w:keepLines/>
      <w:adjustRightInd w:val="0"/>
      <w:spacing w:before="280" w:after="290" w:line="376" w:lineRule="atLeast"/>
      <w:textAlignment w:val="baseline"/>
      <w:outlineLvl w:val="4"/>
    </w:pPr>
    <w:rPr>
      <w:b/>
      <w:kern w:val="0"/>
      <w:sz w:val="28"/>
    </w:rPr>
  </w:style>
  <w:style w:type="paragraph" w:styleId="7">
    <w:name w:val="heading 6"/>
    <w:basedOn w:val="1"/>
    <w:next w:val="1"/>
    <w:link w:val="62"/>
    <w:qFormat/>
    <w:uiPriority w:val="99"/>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link w:val="63"/>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4"/>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5"/>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52">
    <w:name w:val="Default Paragraph Font"/>
    <w:semiHidden/>
    <w:unhideWhenUsed/>
    <w:qFormat/>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semiHidden/>
    <w:qFormat/>
    <w:uiPriority w:val="99"/>
    <w:pPr>
      <w:ind w:left="1260"/>
      <w:jc w:val="left"/>
    </w:pPr>
    <w:rPr>
      <w:sz w:val="18"/>
    </w:rPr>
  </w:style>
  <w:style w:type="paragraph" w:styleId="13">
    <w:name w:val="Normal Indent"/>
    <w:basedOn w:val="1"/>
    <w:link w:val="66"/>
    <w:qFormat/>
    <w:uiPriority w:val="99"/>
    <w:pPr>
      <w:ind w:firstLine="420"/>
    </w:pPr>
  </w:style>
  <w:style w:type="paragraph" w:styleId="14">
    <w:name w:val="Document Map"/>
    <w:basedOn w:val="1"/>
    <w:link w:val="67"/>
    <w:semiHidden/>
    <w:qFormat/>
    <w:uiPriority w:val="99"/>
    <w:pPr>
      <w:shd w:val="clear" w:color="auto" w:fill="000080"/>
    </w:pPr>
  </w:style>
  <w:style w:type="paragraph" w:styleId="15">
    <w:name w:val="annotation text"/>
    <w:basedOn w:val="1"/>
    <w:link w:val="68"/>
    <w:qFormat/>
    <w:uiPriority w:val="99"/>
    <w:pPr>
      <w:jc w:val="left"/>
    </w:pPr>
  </w:style>
  <w:style w:type="paragraph" w:styleId="16">
    <w:name w:val="Body Text"/>
    <w:basedOn w:val="1"/>
    <w:link w:val="69"/>
    <w:qFormat/>
    <w:uiPriority w:val="99"/>
    <w:rPr>
      <w:sz w:val="24"/>
    </w:rPr>
  </w:style>
  <w:style w:type="paragraph" w:styleId="17">
    <w:name w:val="Body Text Indent"/>
    <w:basedOn w:val="1"/>
    <w:link w:val="70"/>
    <w:qFormat/>
    <w:uiPriority w:val="99"/>
    <w:pPr>
      <w:spacing w:after="156"/>
      <w:ind w:firstLine="480"/>
    </w:pPr>
    <w:rPr>
      <w:sz w:val="24"/>
    </w:rPr>
  </w:style>
  <w:style w:type="paragraph" w:styleId="18">
    <w:name w:val="List 2"/>
    <w:basedOn w:val="1"/>
    <w:qFormat/>
    <w:uiPriority w:val="99"/>
    <w:pPr>
      <w:ind w:left="100" w:leftChars="200" w:hanging="200" w:hangingChars="200"/>
    </w:pPr>
  </w:style>
  <w:style w:type="paragraph" w:styleId="19">
    <w:name w:val="List Continue"/>
    <w:basedOn w:val="1"/>
    <w:qFormat/>
    <w:uiPriority w:val="99"/>
    <w:pPr>
      <w:spacing w:after="120"/>
      <w:ind w:left="420" w:leftChars="200"/>
    </w:pPr>
  </w:style>
  <w:style w:type="paragraph" w:styleId="20">
    <w:name w:val="Block Text"/>
    <w:basedOn w:val="1"/>
    <w:qFormat/>
    <w:uiPriority w:val="99"/>
    <w:pPr>
      <w:autoSpaceDE w:val="0"/>
      <w:autoSpaceDN w:val="0"/>
      <w:adjustRightInd w:val="0"/>
      <w:spacing w:line="300" w:lineRule="auto"/>
      <w:ind w:left="29" w:leftChars="12" w:right="6" w:firstLine="560" w:firstLineChars="200"/>
    </w:pPr>
    <w:rPr>
      <w:kern w:val="0"/>
      <w:sz w:val="28"/>
    </w:rPr>
  </w:style>
  <w:style w:type="paragraph" w:styleId="21">
    <w:name w:val="toc 5"/>
    <w:basedOn w:val="1"/>
    <w:next w:val="1"/>
    <w:semiHidden/>
    <w:qFormat/>
    <w:uiPriority w:val="99"/>
    <w:pPr>
      <w:ind w:left="840"/>
      <w:jc w:val="left"/>
    </w:pPr>
    <w:rPr>
      <w:sz w:val="18"/>
    </w:rPr>
  </w:style>
  <w:style w:type="paragraph" w:styleId="22">
    <w:name w:val="toc 3"/>
    <w:basedOn w:val="1"/>
    <w:next w:val="1"/>
    <w:semiHidden/>
    <w:qFormat/>
    <w:uiPriority w:val="99"/>
    <w:pPr>
      <w:ind w:left="420"/>
      <w:jc w:val="left"/>
    </w:pPr>
    <w:rPr>
      <w:i/>
      <w:sz w:val="20"/>
    </w:rPr>
  </w:style>
  <w:style w:type="paragraph" w:styleId="23">
    <w:name w:val="Plain Text"/>
    <w:basedOn w:val="1"/>
    <w:link w:val="71"/>
    <w:qFormat/>
    <w:uiPriority w:val="0"/>
    <w:rPr>
      <w:rFonts w:ascii="宋体" w:hAnsi="Courier New"/>
    </w:rPr>
  </w:style>
  <w:style w:type="paragraph" w:styleId="24">
    <w:name w:val="toc 8"/>
    <w:basedOn w:val="1"/>
    <w:next w:val="1"/>
    <w:semiHidden/>
    <w:qFormat/>
    <w:uiPriority w:val="99"/>
    <w:pPr>
      <w:ind w:left="1470"/>
      <w:jc w:val="left"/>
    </w:pPr>
    <w:rPr>
      <w:sz w:val="18"/>
    </w:rPr>
  </w:style>
  <w:style w:type="paragraph" w:styleId="25">
    <w:name w:val="Date"/>
    <w:basedOn w:val="1"/>
    <w:next w:val="1"/>
    <w:link w:val="72"/>
    <w:qFormat/>
    <w:uiPriority w:val="99"/>
    <w:pPr>
      <w:widowControl/>
      <w:ind w:left="100"/>
      <w:jc w:val="left"/>
    </w:pPr>
    <w:rPr>
      <w:rFonts w:ascii="宋体" w:hAnsi="宋体"/>
      <w:kern w:val="0"/>
      <w:sz w:val="28"/>
    </w:rPr>
  </w:style>
  <w:style w:type="paragraph" w:styleId="26">
    <w:name w:val="Body Text Indent 2"/>
    <w:basedOn w:val="1"/>
    <w:link w:val="73"/>
    <w:qFormat/>
    <w:uiPriority w:val="99"/>
    <w:pPr>
      <w:ind w:left="1436" w:leftChars="684"/>
    </w:pPr>
    <w:rPr>
      <w:sz w:val="24"/>
    </w:rPr>
  </w:style>
  <w:style w:type="paragraph" w:styleId="27">
    <w:name w:val="List Continue 5"/>
    <w:basedOn w:val="1"/>
    <w:qFormat/>
    <w:uiPriority w:val="99"/>
    <w:pPr>
      <w:spacing w:after="120"/>
      <w:ind w:left="2100" w:leftChars="1000"/>
    </w:pPr>
  </w:style>
  <w:style w:type="paragraph" w:styleId="28">
    <w:name w:val="Balloon Text"/>
    <w:basedOn w:val="1"/>
    <w:link w:val="74"/>
    <w:semiHidden/>
    <w:qFormat/>
    <w:uiPriority w:val="99"/>
    <w:rPr>
      <w:sz w:val="18"/>
    </w:rPr>
  </w:style>
  <w:style w:type="paragraph" w:styleId="29">
    <w:name w:val="footer"/>
    <w:basedOn w:val="1"/>
    <w:link w:val="75"/>
    <w:qFormat/>
    <w:uiPriority w:val="99"/>
    <w:pPr>
      <w:tabs>
        <w:tab w:val="center" w:pos="4153"/>
        <w:tab w:val="right" w:pos="8306"/>
      </w:tabs>
      <w:snapToGrid w:val="0"/>
      <w:jc w:val="left"/>
    </w:pPr>
    <w:rPr>
      <w:sz w:val="18"/>
    </w:rPr>
  </w:style>
  <w:style w:type="paragraph" w:styleId="30">
    <w:name w:val="header"/>
    <w:basedOn w:val="1"/>
    <w:link w:val="76"/>
    <w:qFormat/>
    <w:uiPriority w:val="99"/>
    <w:pPr>
      <w:pBdr>
        <w:bottom w:val="single" w:color="auto" w:sz="6" w:space="1"/>
      </w:pBdr>
      <w:tabs>
        <w:tab w:val="center" w:pos="4153"/>
        <w:tab w:val="right" w:pos="8306"/>
      </w:tabs>
      <w:snapToGrid w:val="0"/>
      <w:jc w:val="center"/>
    </w:pPr>
    <w:rPr>
      <w:sz w:val="18"/>
    </w:rPr>
  </w:style>
  <w:style w:type="paragraph" w:styleId="31">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aps/>
      <w:w w:val="80"/>
      <w:sz w:val="24"/>
    </w:rPr>
  </w:style>
  <w:style w:type="paragraph" w:styleId="32">
    <w:name w:val="List Continue 4"/>
    <w:basedOn w:val="1"/>
    <w:qFormat/>
    <w:uiPriority w:val="99"/>
    <w:pPr>
      <w:spacing w:after="120"/>
      <w:ind w:left="1680" w:leftChars="800"/>
    </w:pPr>
  </w:style>
  <w:style w:type="paragraph" w:styleId="33">
    <w:name w:val="toc 4"/>
    <w:basedOn w:val="1"/>
    <w:next w:val="1"/>
    <w:semiHidden/>
    <w:qFormat/>
    <w:uiPriority w:val="99"/>
    <w:pPr>
      <w:tabs>
        <w:tab w:val="left" w:pos="1080"/>
        <w:tab w:val="right" w:leader="dot" w:pos="9125"/>
      </w:tabs>
      <w:adjustRightInd w:val="0"/>
      <w:snapToGrid w:val="0"/>
      <w:spacing w:line="360" w:lineRule="auto"/>
      <w:jc w:val="left"/>
    </w:pPr>
    <w:rPr>
      <w:sz w:val="18"/>
    </w:rPr>
  </w:style>
  <w:style w:type="paragraph" w:styleId="34">
    <w:name w:val="List"/>
    <w:basedOn w:val="1"/>
    <w:qFormat/>
    <w:uiPriority w:val="99"/>
    <w:pPr>
      <w:ind w:left="200" w:hanging="200" w:hangingChars="200"/>
    </w:pPr>
  </w:style>
  <w:style w:type="paragraph" w:styleId="35">
    <w:name w:val="footnote text"/>
    <w:basedOn w:val="1"/>
    <w:link w:val="77"/>
    <w:semiHidden/>
    <w:qFormat/>
    <w:uiPriority w:val="99"/>
    <w:pPr>
      <w:snapToGrid w:val="0"/>
      <w:jc w:val="left"/>
    </w:pPr>
    <w:rPr>
      <w:sz w:val="18"/>
    </w:rPr>
  </w:style>
  <w:style w:type="paragraph" w:styleId="36">
    <w:name w:val="toc 6"/>
    <w:basedOn w:val="1"/>
    <w:next w:val="1"/>
    <w:semiHidden/>
    <w:qFormat/>
    <w:uiPriority w:val="99"/>
    <w:pPr>
      <w:ind w:left="1050"/>
      <w:jc w:val="left"/>
    </w:pPr>
    <w:rPr>
      <w:sz w:val="18"/>
    </w:rPr>
  </w:style>
  <w:style w:type="paragraph" w:styleId="37">
    <w:name w:val="List 5"/>
    <w:basedOn w:val="1"/>
    <w:qFormat/>
    <w:uiPriority w:val="99"/>
    <w:pPr>
      <w:ind w:left="100" w:leftChars="800" w:hanging="200" w:hangingChars="200"/>
    </w:pPr>
  </w:style>
  <w:style w:type="paragraph" w:styleId="38">
    <w:name w:val="Body Text Indent 3"/>
    <w:basedOn w:val="1"/>
    <w:link w:val="78"/>
    <w:qFormat/>
    <w:uiPriority w:val="99"/>
    <w:pPr>
      <w:spacing w:after="120"/>
      <w:ind w:left="420" w:leftChars="200"/>
    </w:pPr>
    <w:rPr>
      <w:sz w:val="16"/>
    </w:rPr>
  </w:style>
  <w:style w:type="paragraph" w:styleId="39">
    <w:name w:val="toc 2"/>
    <w:basedOn w:val="1"/>
    <w:next w:val="1"/>
    <w:semiHidden/>
    <w:qFormat/>
    <w:uiPriority w:val="99"/>
    <w:pPr>
      <w:ind w:left="210"/>
      <w:jc w:val="left"/>
    </w:pPr>
    <w:rPr>
      <w:smallCaps/>
      <w:sz w:val="20"/>
    </w:rPr>
  </w:style>
  <w:style w:type="paragraph" w:styleId="40">
    <w:name w:val="toc 9"/>
    <w:basedOn w:val="1"/>
    <w:next w:val="1"/>
    <w:semiHidden/>
    <w:qFormat/>
    <w:uiPriority w:val="99"/>
    <w:pPr>
      <w:ind w:left="1680"/>
      <w:jc w:val="left"/>
    </w:pPr>
    <w:rPr>
      <w:sz w:val="18"/>
    </w:rPr>
  </w:style>
  <w:style w:type="paragraph" w:styleId="41">
    <w:name w:val="Body Text 2"/>
    <w:basedOn w:val="1"/>
    <w:link w:val="79"/>
    <w:qFormat/>
    <w:uiPriority w:val="99"/>
    <w:rPr>
      <w:rFonts w:ascii="宋体" w:hAnsi="宋体"/>
      <w:sz w:val="24"/>
    </w:rPr>
  </w:style>
  <w:style w:type="paragraph" w:styleId="42">
    <w:name w:val="List 4"/>
    <w:basedOn w:val="1"/>
    <w:qFormat/>
    <w:uiPriority w:val="99"/>
    <w:pPr>
      <w:ind w:left="100" w:leftChars="600" w:hanging="200" w:hangingChars="200"/>
    </w:pPr>
  </w:style>
  <w:style w:type="paragraph" w:styleId="43">
    <w:name w:val="List Continue 2"/>
    <w:basedOn w:val="1"/>
    <w:qFormat/>
    <w:uiPriority w:val="99"/>
    <w:pPr>
      <w:spacing w:after="120"/>
      <w:ind w:left="840" w:leftChars="400"/>
    </w:pPr>
  </w:style>
  <w:style w:type="paragraph" w:styleId="44">
    <w:name w:val="HTML Preformatted"/>
    <w:basedOn w:val="1"/>
    <w:link w:val="80"/>
    <w:qFormat/>
    <w:uiPriority w:val="99"/>
    <w:rPr>
      <w:rFonts w:ascii="Courier New" w:hAnsi="Courier New"/>
      <w:sz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List Continue 3"/>
    <w:basedOn w:val="1"/>
    <w:qFormat/>
    <w:uiPriority w:val="99"/>
    <w:pPr>
      <w:spacing w:after="120"/>
      <w:ind w:left="1260" w:leftChars="600"/>
    </w:pPr>
  </w:style>
  <w:style w:type="paragraph" w:styleId="47">
    <w:name w:val="annotation subject"/>
    <w:basedOn w:val="15"/>
    <w:next w:val="15"/>
    <w:link w:val="81"/>
    <w:semiHidden/>
    <w:qFormat/>
    <w:uiPriority w:val="99"/>
    <w:rPr>
      <w:b/>
    </w:rPr>
  </w:style>
  <w:style w:type="paragraph" w:styleId="48">
    <w:name w:val="Body Text First Indent"/>
    <w:basedOn w:val="1"/>
    <w:link w:val="82"/>
    <w:qFormat/>
    <w:uiPriority w:val="99"/>
    <w:pPr>
      <w:spacing w:line="360" w:lineRule="auto"/>
      <w:ind w:firstLine="482"/>
    </w:pPr>
    <w:rPr>
      <w:b/>
      <w:sz w:val="24"/>
    </w:rPr>
  </w:style>
  <w:style w:type="paragraph" w:styleId="49">
    <w:name w:val="Body Text First Indent 2"/>
    <w:basedOn w:val="17"/>
    <w:link w:val="83"/>
    <w:qFormat/>
    <w:locked/>
    <w:uiPriority w:val="99"/>
    <w:pPr>
      <w:spacing w:after="120"/>
      <w:ind w:left="420" w:leftChars="200" w:firstLine="420" w:firstLineChars="200"/>
    </w:pPr>
    <w:rPr>
      <w:sz w:val="21"/>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page number"/>
    <w:basedOn w:val="52"/>
    <w:qFormat/>
    <w:uiPriority w:val="99"/>
    <w:rPr>
      <w:rFonts w:cs="Times New Roman"/>
    </w:rPr>
  </w:style>
  <w:style w:type="character" w:styleId="54">
    <w:name w:val="Hyperlink"/>
    <w:basedOn w:val="52"/>
    <w:qFormat/>
    <w:uiPriority w:val="99"/>
    <w:rPr>
      <w:rFonts w:cs="Times New Roman"/>
      <w:color w:val="0000FF"/>
      <w:u w:val="single"/>
    </w:rPr>
  </w:style>
  <w:style w:type="character" w:styleId="55">
    <w:name w:val="annotation reference"/>
    <w:basedOn w:val="52"/>
    <w:semiHidden/>
    <w:qFormat/>
    <w:uiPriority w:val="99"/>
    <w:rPr>
      <w:rFonts w:cs="Times New Roman"/>
      <w:sz w:val="21"/>
    </w:rPr>
  </w:style>
  <w:style w:type="character" w:styleId="56">
    <w:name w:val="footnote reference"/>
    <w:basedOn w:val="52"/>
    <w:semiHidden/>
    <w:qFormat/>
    <w:uiPriority w:val="99"/>
    <w:rPr>
      <w:rFonts w:cs="Times New Roman"/>
      <w:vertAlign w:val="superscript"/>
    </w:rPr>
  </w:style>
  <w:style w:type="character" w:customStyle="1" w:styleId="57">
    <w:name w:val="标题 1 字符"/>
    <w:basedOn w:val="52"/>
    <w:link w:val="2"/>
    <w:qFormat/>
    <w:locked/>
    <w:uiPriority w:val="99"/>
    <w:rPr>
      <w:rFonts w:cs="Times New Roman"/>
      <w:b/>
      <w:kern w:val="44"/>
      <w:sz w:val="44"/>
    </w:rPr>
  </w:style>
  <w:style w:type="character" w:customStyle="1" w:styleId="58">
    <w:name w:val="标题 2 字符"/>
    <w:basedOn w:val="52"/>
    <w:link w:val="3"/>
    <w:qFormat/>
    <w:locked/>
    <w:uiPriority w:val="99"/>
    <w:rPr>
      <w:rFonts w:ascii="Arial" w:hAnsi="Arial" w:eastAsia="黑体" w:cs="Times New Roman"/>
      <w:b/>
      <w:sz w:val="32"/>
    </w:rPr>
  </w:style>
  <w:style w:type="character" w:customStyle="1" w:styleId="59">
    <w:name w:val="标题 3 字符"/>
    <w:basedOn w:val="52"/>
    <w:link w:val="4"/>
    <w:semiHidden/>
    <w:qFormat/>
    <w:locked/>
    <w:uiPriority w:val="99"/>
    <w:rPr>
      <w:rFonts w:cs="Times New Roman"/>
      <w:b/>
      <w:bCs/>
      <w:sz w:val="32"/>
      <w:szCs w:val="32"/>
    </w:rPr>
  </w:style>
  <w:style w:type="character" w:customStyle="1" w:styleId="60">
    <w:name w:val="标题 4 字符"/>
    <w:basedOn w:val="52"/>
    <w:link w:val="5"/>
    <w:qFormat/>
    <w:locked/>
    <w:uiPriority w:val="99"/>
    <w:rPr>
      <w:rFonts w:ascii="Arial" w:hAnsi="Arial" w:eastAsia="黑体" w:cs="Times New Roman"/>
      <w:b/>
      <w:kern w:val="2"/>
      <w:sz w:val="28"/>
      <w:lang w:val="en-US" w:eastAsia="zh-CN"/>
    </w:rPr>
  </w:style>
  <w:style w:type="character" w:customStyle="1" w:styleId="61">
    <w:name w:val="标题 5 字符"/>
    <w:basedOn w:val="52"/>
    <w:link w:val="6"/>
    <w:semiHidden/>
    <w:qFormat/>
    <w:locked/>
    <w:uiPriority w:val="99"/>
    <w:rPr>
      <w:rFonts w:cs="Times New Roman"/>
      <w:b/>
      <w:bCs/>
      <w:sz w:val="28"/>
      <w:szCs w:val="28"/>
    </w:rPr>
  </w:style>
  <w:style w:type="character" w:customStyle="1" w:styleId="62">
    <w:name w:val="标题 6 字符"/>
    <w:basedOn w:val="52"/>
    <w:link w:val="7"/>
    <w:semiHidden/>
    <w:qFormat/>
    <w:locked/>
    <w:uiPriority w:val="99"/>
    <w:rPr>
      <w:rFonts w:ascii="Cambria" w:hAnsi="Cambria" w:eastAsia="宋体" w:cs="Times New Roman"/>
      <w:b/>
      <w:bCs/>
      <w:sz w:val="24"/>
      <w:szCs w:val="24"/>
    </w:rPr>
  </w:style>
  <w:style w:type="character" w:customStyle="1" w:styleId="63">
    <w:name w:val="标题 7 字符"/>
    <w:basedOn w:val="52"/>
    <w:link w:val="8"/>
    <w:semiHidden/>
    <w:qFormat/>
    <w:locked/>
    <w:uiPriority w:val="99"/>
    <w:rPr>
      <w:rFonts w:cs="Times New Roman"/>
      <w:b/>
      <w:bCs/>
      <w:sz w:val="24"/>
      <w:szCs w:val="24"/>
    </w:rPr>
  </w:style>
  <w:style w:type="character" w:customStyle="1" w:styleId="64">
    <w:name w:val="标题 8 字符"/>
    <w:basedOn w:val="52"/>
    <w:link w:val="9"/>
    <w:semiHidden/>
    <w:qFormat/>
    <w:locked/>
    <w:uiPriority w:val="99"/>
    <w:rPr>
      <w:rFonts w:ascii="Cambria" w:hAnsi="Cambria" w:eastAsia="宋体" w:cs="Times New Roman"/>
      <w:sz w:val="24"/>
      <w:szCs w:val="24"/>
    </w:rPr>
  </w:style>
  <w:style w:type="character" w:customStyle="1" w:styleId="65">
    <w:name w:val="标题 9 字符"/>
    <w:basedOn w:val="52"/>
    <w:link w:val="10"/>
    <w:semiHidden/>
    <w:qFormat/>
    <w:locked/>
    <w:uiPriority w:val="99"/>
    <w:rPr>
      <w:rFonts w:ascii="Cambria" w:hAnsi="Cambria" w:eastAsia="宋体" w:cs="Times New Roman"/>
      <w:sz w:val="21"/>
      <w:szCs w:val="21"/>
    </w:rPr>
  </w:style>
  <w:style w:type="character" w:customStyle="1" w:styleId="66">
    <w:name w:val="正文缩进 字符"/>
    <w:link w:val="13"/>
    <w:qFormat/>
    <w:locked/>
    <w:uiPriority w:val="99"/>
    <w:rPr>
      <w:kern w:val="2"/>
      <w:sz w:val="21"/>
    </w:rPr>
  </w:style>
  <w:style w:type="character" w:customStyle="1" w:styleId="67">
    <w:name w:val="文档结构图 字符"/>
    <w:basedOn w:val="52"/>
    <w:link w:val="14"/>
    <w:semiHidden/>
    <w:qFormat/>
    <w:locked/>
    <w:uiPriority w:val="99"/>
    <w:rPr>
      <w:rFonts w:cs="Times New Roman"/>
      <w:sz w:val="2"/>
    </w:rPr>
  </w:style>
  <w:style w:type="character" w:customStyle="1" w:styleId="68">
    <w:name w:val="批注文字 字符"/>
    <w:basedOn w:val="52"/>
    <w:link w:val="15"/>
    <w:qFormat/>
    <w:locked/>
    <w:uiPriority w:val="99"/>
    <w:rPr>
      <w:rFonts w:cs="Times New Roman"/>
      <w:kern w:val="2"/>
      <w:sz w:val="21"/>
    </w:rPr>
  </w:style>
  <w:style w:type="character" w:customStyle="1" w:styleId="69">
    <w:name w:val="正文文本 字符"/>
    <w:basedOn w:val="52"/>
    <w:link w:val="16"/>
    <w:qFormat/>
    <w:locked/>
    <w:uiPriority w:val="99"/>
    <w:rPr>
      <w:rFonts w:cs="Times New Roman"/>
      <w:sz w:val="20"/>
      <w:szCs w:val="20"/>
    </w:rPr>
  </w:style>
  <w:style w:type="character" w:customStyle="1" w:styleId="70">
    <w:name w:val="正文文本缩进 字符"/>
    <w:basedOn w:val="52"/>
    <w:link w:val="17"/>
    <w:qFormat/>
    <w:locked/>
    <w:uiPriority w:val="99"/>
    <w:rPr>
      <w:rFonts w:cs="Times New Roman"/>
      <w:kern w:val="2"/>
      <w:sz w:val="24"/>
    </w:rPr>
  </w:style>
  <w:style w:type="character" w:customStyle="1" w:styleId="71">
    <w:name w:val="纯文本 字符"/>
    <w:basedOn w:val="52"/>
    <w:link w:val="23"/>
    <w:semiHidden/>
    <w:qFormat/>
    <w:locked/>
    <w:uiPriority w:val="0"/>
    <w:rPr>
      <w:rFonts w:ascii="宋体" w:hAnsi="Courier New" w:cs="Courier New"/>
      <w:sz w:val="21"/>
      <w:szCs w:val="21"/>
    </w:rPr>
  </w:style>
  <w:style w:type="character" w:customStyle="1" w:styleId="72">
    <w:name w:val="日期 字符"/>
    <w:basedOn w:val="52"/>
    <w:link w:val="25"/>
    <w:semiHidden/>
    <w:qFormat/>
    <w:locked/>
    <w:uiPriority w:val="99"/>
    <w:rPr>
      <w:rFonts w:cs="Times New Roman"/>
      <w:sz w:val="20"/>
      <w:szCs w:val="20"/>
    </w:rPr>
  </w:style>
  <w:style w:type="character" w:customStyle="1" w:styleId="73">
    <w:name w:val="正文文本缩进 2 字符"/>
    <w:basedOn w:val="52"/>
    <w:link w:val="26"/>
    <w:semiHidden/>
    <w:qFormat/>
    <w:locked/>
    <w:uiPriority w:val="99"/>
    <w:rPr>
      <w:rFonts w:cs="Times New Roman"/>
      <w:sz w:val="20"/>
      <w:szCs w:val="20"/>
    </w:rPr>
  </w:style>
  <w:style w:type="character" w:customStyle="1" w:styleId="74">
    <w:name w:val="批注框文本 字符"/>
    <w:basedOn w:val="52"/>
    <w:link w:val="28"/>
    <w:qFormat/>
    <w:locked/>
    <w:uiPriority w:val="99"/>
    <w:rPr>
      <w:rFonts w:eastAsia="宋体" w:cs="Times New Roman"/>
      <w:kern w:val="2"/>
      <w:sz w:val="18"/>
      <w:lang w:val="en-US" w:eastAsia="zh-CN"/>
    </w:rPr>
  </w:style>
  <w:style w:type="character" w:customStyle="1" w:styleId="75">
    <w:name w:val="页脚 字符"/>
    <w:basedOn w:val="52"/>
    <w:link w:val="29"/>
    <w:qFormat/>
    <w:locked/>
    <w:uiPriority w:val="99"/>
    <w:rPr>
      <w:rFonts w:cs="Times New Roman"/>
      <w:kern w:val="2"/>
      <w:sz w:val="18"/>
    </w:rPr>
  </w:style>
  <w:style w:type="character" w:customStyle="1" w:styleId="76">
    <w:name w:val="页眉 字符"/>
    <w:basedOn w:val="52"/>
    <w:link w:val="30"/>
    <w:semiHidden/>
    <w:qFormat/>
    <w:locked/>
    <w:uiPriority w:val="99"/>
    <w:rPr>
      <w:rFonts w:cs="Times New Roman"/>
      <w:sz w:val="18"/>
      <w:szCs w:val="18"/>
    </w:rPr>
  </w:style>
  <w:style w:type="character" w:customStyle="1" w:styleId="77">
    <w:name w:val="脚注文本 字符"/>
    <w:basedOn w:val="52"/>
    <w:link w:val="35"/>
    <w:semiHidden/>
    <w:qFormat/>
    <w:locked/>
    <w:uiPriority w:val="99"/>
    <w:rPr>
      <w:rFonts w:cs="Times New Roman"/>
      <w:sz w:val="18"/>
      <w:szCs w:val="18"/>
    </w:rPr>
  </w:style>
  <w:style w:type="character" w:customStyle="1" w:styleId="78">
    <w:name w:val="正文文本缩进 3 字符"/>
    <w:basedOn w:val="52"/>
    <w:link w:val="38"/>
    <w:semiHidden/>
    <w:qFormat/>
    <w:locked/>
    <w:uiPriority w:val="99"/>
    <w:rPr>
      <w:rFonts w:cs="Times New Roman"/>
      <w:sz w:val="16"/>
      <w:szCs w:val="16"/>
    </w:rPr>
  </w:style>
  <w:style w:type="character" w:customStyle="1" w:styleId="79">
    <w:name w:val="正文文本 2 字符"/>
    <w:basedOn w:val="52"/>
    <w:link w:val="41"/>
    <w:qFormat/>
    <w:locked/>
    <w:uiPriority w:val="99"/>
    <w:rPr>
      <w:rFonts w:cs="Times New Roman"/>
      <w:sz w:val="20"/>
      <w:szCs w:val="20"/>
    </w:rPr>
  </w:style>
  <w:style w:type="character" w:customStyle="1" w:styleId="80">
    <w:name w:val="HTML 预设格式 字符"/>
    <w:basedOn w:val="52"/>
    <w:link w:val="44"/>
    <w:qFormat/>
    <w:locked/>
    <w:uiPriority w:val="99"/>
    <w:rPr>
      <w:rFonts w:ascii="Courier New" w:hAnsi="Courier New" w:cs="Times New Roman"/>
      <w:kern w:val="2"/>
    </w:rPr>
  </w:style>
  <w:style w:type="character" w:customStyle="1" w:styleId="81">
    <w:name w:val="批注主题 字符"/>
    <w:basedOn w:val="68"/>
    <w:link w:val="47"/>
    <w:semiHidden/>
    <w:qFormat/>
    <w:locked/>
    <w:uiPriority w:val="99"/>
    <w:rPr>
      <w:rFonts w:cs="Times New Roman"/>
      <w:b/>
      <w:bCs/>
      <w:kern w:val="2"/>
      <w:sz w:val="20"/>
      <w:szCs w:val="20"/>
    </w:rPr>
  </w:style>
  <w:style w:type="character" w:customStyle="1" w:styleId="82">
    <w:name w:val="正文文本首行缩进 字符"/>
    <w:basedOn w:val="69"/>
    <w:link w:val="48"/>
    <w:semiHidden/>
    <w:qFormat/>
    <w:locked/>
    <w:uiPriority w:val="99"/>
    <w:rPr>
      <w:rFonts w:cs="Times New Roman"/>
      <w:sz w:val="20"/>
      <w:szCs w:val="20"/>
    </w:rPr>
  </w:style>
  <w:style w:type="character" w:customStyle="1" w:styleId="83">
    <w:name w:val="正文文本首行缩进 2 字符"/>
    <w:basedOn w:val="70"/>
    <w:link w:val="49"/>
    <w:qFormat/>
    <w:locked/>
    <w:uiPriority w:val="99"/>
    <w:rPr>
      <w:rFonts w:cs="Times New Roman"/>
      <w:kern w:val="2"/>
      <w:sz w:val="21"/>
    </w:rPr>
  </w:style>
  <w:style w:type="character" w:customStyle="1" w:styleId="84">
    <w:name w:val="标题 1 Char Char"/>
    <w:qFormat/>
    <w:uiPriority w:val="99"/>
    <w:rPr>
      <w:rFonts w:ascii="宋体" w:hAnsi="宋体" w:eastAsia="宋体"/>
      <w:b/>
      <w:spacing w:val="-2"/>
      <w:sz w:val="24"/>
      <w:lang w:val="en-US" w:eastAsia="zh-CN"/>
    </w:rPr>
  </w:style>
  <w:style w:type="character" w:customStyle="1" w:styleId="85">
    <w:name w:val="style1"/>
    <w:qFormat/>
    <w:uiPriority w:val="99"/>
  </w:style>
  <w:style w:type="character" w:customStyle="1" w:styleId="86">
    <w:name w:val="Style Heading 3 + Char"/>
    <w:link w:val="87"/>
    <w:qFormat/>
    <w:locked/>
    <w:uiPriority w:val="99"/>
    <w:rPr>
      <w:rFonts w:eastAsia="宋体"/>
      <w:b/>
      <w:kern w:val="2"/>
      <w:sz w:val="28"/>
      <w:lang w:val="en-US" w:eastAsia="zh-CN"/>
    </w:rPr>
  </w:style>
  <w:style w:type="paragraph" w:customStyle="1" w:styleId="87">
    <w:name w:val="Style Heading 3 +"/>
    <w:basedOn w:val="4"/>
    <w:link w:val="86"/>
    <w:qFormat/>
    <w:uiPriority w:val="99"/>
    <w:pPr>
      <w:adjustRightInd/>
      <w:spacing w:before="120" w:after="120" w:line="120" w:lineRule="atLeast"/>
      <w:textAlignment w:val="auto"/>
    </w:pPr>
    <w:rPr>
      <w:kern w:val="2"/>
      <w:sz w:val="28"/>
    </w:rPr>
  </w:style>
  <w:style w:type="paragraph" w:customStyle="1" w:styleId="88">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89">
    <w:name w:val="文档正文"/>
    <w:basedOn w:val="1"/>
    <w:qFormat/>
    <w:uiPriority w:val="99"/>
    <w:pPr>
      <w:adjustRightInd w:val="0"/>
      <w:spacing w:line="480" w:lineRule="atLeast"/>
      <w:ind w:firstLine="567"/>
      <w:textAlignment w:val="baseline"/>
    </w:pPr>
    <w:rPr>
      <w:rFonts w:ascii="仿宋_GB2312" w:eastAsia="仿宋_GB2312"/>
      <w:kern w:val="0"/>
      <w:sz w:val="28"/>
    </w:rPr>
  </w:style>
  <w:style w:type="paragraph" w:customStyle="1" w:styleId="90">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91">
    <w:name w:val="Char Char Char1 Char"/>
    <w:basedOn w:val="1"/>
    <w:qFormat/>
    <w:uiPriority w:val="99"/>
  </w:style>
  <w:style w:type="paragraph" w:customStyle="1" w:styleId="92">
    <w:name w:val="p0"/>
    <w:basedOn w:val="1"/>
    <w:qFormat/>
    <w:uiPriority w:val="99"/>
    <w:pPr>
      <w:widowControl/>
    </w:pPr>
    <w:rPr>
      <w:kern w:val="0"/>
      <w:szCs w:val="21"/>
    </w:rPr>
  </w:style>
  <w:style w:type="paragraph" w:customStyle="1" w:styleId="93">
    <w:name w:val="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94">
    <w:name w:val="默认段落字体 Para Char Char Char Char"/>
    <w:basedOn w:val="1"/>
    <w:qFormat/>
    <w:uiPriority w:val="99"/>
  </w:style>
  <w:style w:type="paragraph" w:customStyle="1" w:styleId="95">
    <w:name w:val="1"/>
    <w:basedOn w:val="1"/>
    <w:next w:val="23"/>
    <w:qFormat/>
    <w:uiPriority w:val="99"/>
    <w:rPr>
      <w:rFonts w:ascii="宋体" w:hAnsi="Courier New"/>
    </w:rPr>
  </w:style>
  <w:style w:type="paragraph" w:customStyle="1" w:styleId="96">
    <w:name w:val="纯文本2"/>
    <w:basedOn w:val="1"/>
    <w:qFormat/>
    <w:uiPriority w:val="99"/>
    <w:rPr>
      <w:rFonts w:ascii="宋体" w:hAnsi="Courier New"/>
      <w:sz w:val="28"/>
      <w:szCs w:val="24"/>
    </w:rPr>
  </w:style>
  <w:style w:type="paragraph" w:customStyle="1" w:styleId="97">
    <w:name w:val="简单回函地址"/>
    <w:basedOn w:val="1"/>
    <w:qFormat/>
    <w:uiPriority w:val="99"/>
  </w:style>
  <w:style w:type="paragraph" w:customStyle="1" w:styleId="98">
    <w:name w:val="图文"/>
    <w:basedOn w:val="1"/>
    <w:qFormat/>
    <w:uiPriority w:val="99"/>
    <w:pPr>
      <w:adjustRightInd w:val="0"/>
      <w:snapToGrid w:val="0"/>
      <w:spacing w:after="50" w:line="360" w:lineRule="auto"/>
    </w:pPr>
    <w:rPr>
      <w:sz w:val="24"/>
    </w:rPr>
  </w:style>
  <w:style w:type="paragraph" w:customStyle="1" w:styleId="99">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0">
    <w:name w:val="列出段落1"/>
    <w:basedOn w:val="1"/>
    <w:qFormat/>
    <w:uiPriority w:val="99"/>
    <w:pPr>
      <w:ind w:firstLine="420" w:firstLineChars="200"/>
    </w:pPr>
  </w:style>
  <w:style w:type="paragraph" w:customStyle="1" w:styleId="101">
    <w:name w:val="样式 标题 2 + 黑色 行距: 1.5 倍行距"/>
    <w:basedOn w:val="3"/>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02">
    <w:name w:val="列出段落2"/>
    <w:basedOn w:val="1"/>
    <w:qFormat/>
    <w:uiPriority w:val="99"/>
    <w:pPr>
      <w:ind w:firstLine="420" w:firstLineChars="200"/>
    </w:pPr>
    <w:rPr>
      <w:rFonts w:ascii="Calibri" w:hAnsi="Calibri"/>
      <w:sz w:val="24"/>
      <w:szCs w:val="24"/>
    </w:rPr>
  </w:style>
  <w:style w:type="paragraph" w:customStyle="1" w:styleId="103">
    <w:name w:val="修订1"/>
    <w:semiHidden/>
    <w:qFormat/>
    <w:uiPriority w:val="99"/>
    <w:rPr>
      <w:rFonts w:ascii="Times New Roman" w:hAnsi="Times New Roman" w:eastAsia="宋体" w:cs="Times New Roman"/>
      <w:kern w:val="2"/>
      <w:sz w:val="21"/>
      <w:lang w:val="en-US" w:eastAsia="zh-CN" w:bidi="ar-SA"/>
    </w:rPr>
  </w:style>
  <w:style w:type="paragraph" w:customStyle="1" w:styleId="104">
    <w:name w:val="正文1"/>
    <w:basedOn w:val="1"/>
    <w:qFormat/>
    <w:uiPriority w:val="0"/>
    <w:pPr>
      <w:spacing w:line="360" w:lineRule="auto"/>
      <w:ind w:firstLine="361"/>
    </w:pPr>
    <w:rPr>
      <w:rFonts w:ascii="宋体" w:hAnsi="宋体"/>
      <w:szCs w:val="24"/>
    </w:rPr>
  </w:style>
  <w:style w:type="table" w:customStyle="1" w:styleId="105">
    <w:name w:val="网格型1"/>
    <w:basedOn w:val="50"/>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6">
    <w:name w:val="NormalCharacter"/>
    <w:qFormat/>
    <w:uiPriority w:val="0"/>
  </w:style>
  <w:style w:type="paragraph" w:customStyle="1" w:styleId="107">
    <w:name w:val="页脚1"/>
    <w:basedOn w:val="1"/>
    <w:link w:val="108"/>
    <w:qFormat/>
    <w:uiPriority w:val="0"/>
    <w:pPr>
      <w:widowControl/>
      <w:tabs>
        <w:tab w:val="center" w:pos="4153"/>
        <w:tab w:val="right" w:pos="8306"/>
      </w:tabs>
      <w:snapToGrid w:val="0"/>
      <w:jc w:val="left"/>
      <w:textAlignment w:val="baseline"/>
    </w:pPr>
    <w:rPr>
      <w:kern w:val="0"/>
      <w:sz w:val="18"/>
      <w:szCs w:val="18"/>
    </w:rPr>
  </w:style>
  <w:style w:type="character" w:customStyle="1" w:styleId="108">
    <w:name w:val="UserStyle_11"/>
    <w:link w:val="107"/>
    <w:qFormat/>
    <w:uiPriority w:val="0"/>
    <w:rPr>
      <w:sz w:val="18"/>
      <w:szCs w:val="18"/>
    </w:rPr>
  </w:style>
  <w:style w:type="paragraph" w:customStyle="1" w:styleId="109">
    <w:name w:val="页眉1"/>
    <w:basedOn w:val="1"/>
    <w:link w:val="110"/>
    <w:qFormat/>
    <w:uiPriority w:val="0"/>
    <w:pPr>
      <w:widowControl/>
      <w:pBdr>
        <w:bottom w:val="single" w:color="000000" w:sz="6" w:space="1"/>
      </w:pBdr>
      <w:tabs>
        <w:tab w:val="center" w:pos="4153"/>
        <w:tab w:val="right" w:pos="8306"/>
      </w:tabs>
      <w:snapToGrid w:val="0"/>
      <w:jc w:val="center"/>
      <w:textAlignment w:val="baseline"/>
    </w:pPr>
    <w:rPr>
      <w:kern w:val="0"/>
      <w:sz w:val="18"/>
      <w:szCs w:val="18"/>
    </w:rPr>
  </w:style>
  <w:style w:type="character" w:customStyle="1" w:styleId="110">
    <w:name w:val="UserStyle_12"/>
    <w:link w:val="109"/>
    <w:qFormat/>
    <w:uiPriority w:val="0"/>
    <w:rPr>
      <w:sz w:val="18"/>
      <w:szCs w:val="18"/>
    </w:rPr>
  </w:style>
  <w:style w:type="paragraph" w:styleId="111">
    <w:name w:val="List Paragraph"/>
    <w:basedOn w:val="1"/>
    <w:qFormat/>
    <w:uiPriority w:val="99"/>
    <w:pPr>
      <w:ind w:firstLine="420" w:firstLineChars="200"/>
    </w:pPr>
    <w:rPr>
      <w:rFonts w:ascii="Calibri" w:hAnsi="Calibri"/>
      <w:sz w:val="24"/>
      <w:szCs w:val="24"/>
    </w:rPr>
  </w:style>
  <w:style w:type="table" w:customStyle="1" w:styleId="112">
    <w:name w:val="网格型2"/>
    <w:basedOn w:val="50"/>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网格型3"/>
    <w:basedOn w:val="50"/>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Table Paragraph"/>
    <w:basedOn w:val="1"/>
    <w:qFormat/>
    <w:uiPriority w:val="0"/>
    <w:pPr>
      <w:jc w:val="left"/>
    </w:pPr>
    <w:rPr>
      <w:rFonts w:ascii="宋体" w:hAnsi="宋体" w:cs="宋体"/>
      <w:kern w:val="0"/>
      <w:sz w:val="22"/>
      <w:lang w:eastAsia="en-US"/>
    </w:rPr>
  </w:style>
  <w:style w:type="paragraph" w:customStyle="1" w:styleId="115">
    <w:name w:val="Normal_0_2"/>
    <w:qFormat/>
    <w:uiPriority w:val="0"/>
    <w:rPr>
      <w:rFonts w:ascii="Times New Roman" w:hAnsi="Times New Roman" w:eastAsia="Times New Roman" w:cs="Times New Roman"/>
      <w:sz w:val="24"/>
      <w:szCs w:val="24"/>
      <w:lang w:val="en-US" w:eastAsia="zh-CN" w:bidi="ar-SA"/>
    </w:rPr>
  </w:style>
  <w:style w:type="paragraph" w:customStyle="1" w:styleId="116">
    <w:name w:val="Normal_0_1"/>
    <w:qFormat/>
    <w:uiPriority w:val="0"/>
    <w:rPr>
      <w:rFonts w:ascii="Times New Roman" w:hAnsi="Times New Roman" w:eastAsia="Times New Roman" w:cs="Times New Roman"/>
      <w:sz w:val="24"/>
      <w:szCs w:val="24"/>
      <w:lang w:val="en-US" w:eastAsia="zh-CN" w:bidi="ar-SA"/>
    </w:rPr>
  </w:style>
  <w:style w:type="table" w:customStyle="1" w:styleId="117">
    <w:name w:val="网格型4"/>
    <w:basedOn w:val="5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网格型5"/>
    <w:basedOn w:val="5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9">
    <w:name w:val="样式 标题 1 + 宋体 段前: 0 磅 段后: 0 磅 行距: 单倍行距"/>
    <w:basedOn w:val="2"/>
    <w:next w:val="1"/>
    <w:qFormat/>
    <w:uiPriority w:val="0"/>
    <w:pPr>
      <w:adjustRightInd/>
      <w:spacing w:beforeLines="100" w:afterLines="100" w:line="240" w:lineRule="auto"/>
      <w:jc w:val="center"/>
      <w:textAlignment w:val="auto"/>
    </w:pPr>
    <w:rPr>
      <w:rFonts w:ascii="仿宋_GB2312" w:hAnsi="宋体" w:eastAsia="仿宋_GB2312" w:cs="宋体"/>
      <w:bCs/>
      <w:szCs w:val="44"/>
    </w:rPr>
  </w:style>
  <w:style w:type="character" w:customStyle="1" w:styleId="120">
    <w:name w:val="font41"/>
    <w:basedOn w:val="52"/>
    <w:qFormat/>
    <w:uiPriority w:val="0"/>
    <w:rPr>
      <w:rFonts w:hint="eastAsia" w:ascii="宋体" w:hAnsi="宋体" w:eastAsia="宋体" w:cs="宋体"/>
      <w:color w:val="000000"/>
      <w:sz w:val="20"/>
      <w:szCs w:val="20"/>
      <w:u w:val="none"/>
    </w:rPr>
  </w:style>
  <w:style w:type="character" w:customStyle="1" w:styleId="121">
    <w:name w:val="font11"/>
    <w:basedOn w:val="52"/>
    <w:qFormat/>
    <w:uiPriority w:val="0"/>
    <w:rPr>
      <w:rFonts w:hint="eastAsia" w:ascii="宋体" w:hAnsi="宋体" w:eastAsia="宋体" w:cs="宋体"/>
      <w:b/>
      <w:bCs/>
      <w:color w:val="000000"/>
      <w:sz w:val="20"/>
      <w:szCs w:val="20"/>
      <w:u w:val="none"/>
    </w:rPr>
  </w:style>
  <w:style w:type="character" w:customStyle="1" w:styleId="122">
    <w:name w:val="font51"/>
    <w:basedOn w:val="52"/>
    <w:qFormat/>
    <w:uiPriority w:val="0"/>
    <w:rPr>
      <w:rFonts w:hint="default" w:ascii="Arial" w:hAnsi="Arial" w:cs="Arial"/>
      <w:color w:val="000000"/>
      <w:sz w:val="7"/>
      <w:szCs w:val="7"/>
      <w:u w:val="none"/>
    </w:rPr>
  </w:style>
  <w:style w:type="character" w:customStyle="1" w:styleId="123">
    <w:name w:val="font61"/>
    <w:basedOn w:val="52"/>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EC2B4-0213-473D-BC45-67F9B09CFFA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49</Pages>
  <Words>26565</Words>
  <Characters>28439</Characters>
  <Lines>237</Lines>
  <Paragraphs>66</Paragraphs>
  <TotalTime>17</TotalTime>
  <ScaleCrop>false</ScaleCrop>
  <LinksUpToDate>false</LinksUpToDate>
  <CharactersWithSpaces>30115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2024-07-12T08:54:00Z</dcterms:created>
  <dc:creator>user</dc:creator>
  <cp:lastModifiedBy>HP</cp:lastModifiedBy>
  <cp:lastPrinted>2022-04-24T08:47:00Z</cp:lastPrinted>
  <dcterms:modified xsi:type="dcterms:W3CDTF">2024-07-15T09:22:28Z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1851FBF5FC054BA59323B36F6A9DDB66_13</vt:lpwstr>
  </property>
</Properties>
</file>